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spacing w:after="60" w:lineRule="auto" w:line="360"/>
        <w:jc w:val="center"/>
        <w:outlineLvl w:val="0"/>
        <w:rPr>
          <w:rFonts w:ascii="方正小标宋简体" w:cs="宋体" w:eastAsia="方正小标宋简体" w:hAnsi="宋体"/>
          <w:bCs/>
          <w:kern w:val="0"/>
          <w:sz w:val="40"/>
          <w:szCs w:val="32"/>
        </w:rPr>
      </w:pPr>
      <w:r>
        <w:rPr>
          <w:rFonts w:ascii="方正小标宋简体" w:cs="宋体" w:eastAsia="方正小标宋简体" w:hAnsi="宋体" w:hint="eastAsia"/>
          <w:bCs/>
          <w:kern w:val="0"/>
          <w:sz w:val="40"/>
          <w:szCs w:val="32"/>
        </w:rPr>
        <w:fldChar w:fldCharType="begin"/>
      </w:r>
      <w:r>
        <w:rPr>
          <w:rFonts w:ascii="方正小标宋简体" w:cs="宋体" w:eastAsia="方正小标宋简体" w:hAnsi="宋体" w:hint="eastAsia"/>
          <w:bCs/>
          <w:kern w:val="0"/>
          <w:sz w:val="40"/>
          <w:szCs w:val="32"/>
        </w:rPr>
        <w:instrText>ADDIN CNKISM.UserStyle</w:instrText>
      </w:r>
      <w:r>
        <w:rPr>
          <w:rFonts w:ascii="方正小标宋简体" w:cs="宋体" w:eastAsia="方正小标宋简体" w:hAnsi="宋体" w:hint="eastAsia"/>
          <w:bCs/>
          <w:kern w:val="0"/>
          <w:sz w:val="40"/>
          <w:szCs w:val="32"/>
        </w:rPr>
        <w:fldChar w:fldCharType="end"/>
      </w:r>
      <w:r>
        <w:rPr>
          <w:rFonts w:ascii="方正小标宋简体" w:cs="宋体" w:eastAsia="方正小标宋简体" w:hAnsi="宋体" w:hint="eastAsia"/>
          <w:bCs/>
          <w:kern w:val="0"/>
          <w:sz w:val="40"/>
          <w:szCs w:val="32"/>
        </w:rPr>
        <w:t>北京理工大学马克思主义学院研究生综合素质测评章程（试行）</w:t>
      </w:r>
    </w:p>
    <w:p>
      <w:pPr>
        <w:pStyle w:val="style0"/>
        <w:widowControl/>
        <w:spacing w:after="60" w:lineRule="auto" w:line="360"/>
        <w:jc w:val="center"/>
        <w:outlineLvl w:val="0"/>
        <w:rPr>
          <w:rFonts w:ascii="黑体" w:cs="宋体" w:eastAsia="黑体" w:hAnsi="黑体"/>
          <w:bCs/>
          <w:kern w:val="0"/>
          <w:sz w:val="32"/>
          <w:szCs w:val="32"/>
        </w:rPr>
      </w:pPr>
      <w:r>
        <w:rPr>
          <w:rFonts w:ascii="黑体" w:cs="宋体" w:eastAsia="黑体" w:hAnsi="黑体" w:hint="eastAsia"/>
          <w:bCs/>
          <w:kern w:val="0"/>
          <w:sz w:val="32"/>
          <w:szCs w:val="32"/>
        </w:rPr>
        <w:t>总则</w:t>
      </w:r>
    </w:p>
    <w:p>
      <w:pPr>
        <w:pStyle w:val="style0"/>
        <w:widowControl/>
        <w:spacing w:lineRule="exact" w:line="520"/>
        <w:ind w:firstLine="560" w:firstLineChars="200"/>
        <w:rPr>
          <w:rFonts w:ascii="仿宋_GB2312" w:cs="宋体" w:eastAsia="仿宋_GB2312" w:hAnsi="宋体"/>
          <w:color w:val="444444"/>
          <w:kern w:val="0"/>
          <w:sz w:val="28"/>
          <w:szCs w:val="24"/>
        </w:rPr>
      </w:pPr>
      <w:r>
        <w:rPr>
          <w:rFonts w:ascii="仿宋_GB2312" w:cs="Times New Roman" w:eastAsia="仿宋_GB2312" w:hAnsi="宋体" w:hint="eastAsia"/>
          <w:color w:val="444444"/>
          <w:kern w:val="0"/>
          <w:sz w:val="28"/>
          <w:szCs w:val="20"/>
        </w:rPr>
        <w:t>本章程以全面提升研究生教育质量为指导思想，旨在引导研究生综合素质的提升，促进研究生的自我完善、全面发展，促使研究生科学规划自己的研究生生涯，培养马克思主义理论专业研究生时代担当的责任感和使命感，影响和引领广大学生成长为德智体美劳全面发展的社会主义建设者和接班人。</w:t>
      </w:r>
    </w:p>
    <w:p>
      <w:pPr>
        <w:pStyle w:val="style0"/>
        <w:widowControl/>
        <w:spacing w:lineRule="exact" w:line="520"/>
        <w:ind w:firstLine="560" w:firstLineChars="200"/>
        <w:rPr>
          <w:rFonts w:ascii="仿宋_GB2312" w:cs="宋体" w:eastAsia="仿宋_GB2312" w:hAnsi="宋体"/>
          <w:color w:val="444444"/>
          <w:kern w:val="0"/>
          <w:sz w:val="28"/>
          <w:szCs w:val="24"/>
        </w:rPr>
      </w:pPr>
      <w:r>
        <w:rPr>
          <w:rFonts w:ascii="仿宋_GB2312" w:cs="Times New Roman" w:eastAsia="仿宋_GB2312" w:hAnsi="宋体" w:hint="eastAsia"/>
          <w:color w:val="444444"/>
          <w:kern w:val="0"/>
          <w:sz w:val="28"/>
          <w:szCs w:val="20"/>
        </w:rPr>
        <w:t>本章程根据财政部、教育部《学生资助资金管理办法》（</w:t>
      </w:r>
      <w:r>
        <w:rPr>
          <w:rFonts w:ascii="仿宋_GB2312" w:cs="Times New Roman" w:eastAsia="仿宋_GB2312" w:hAnsi="宋体" w:hint="eastAsia"/>
          <w:color w:val="444444"/>
          <w:kern w:val="0"/>
          <w:sz w:val="28"/>
          <w:szCs w:val="20"/>
        </w:rPr>
        <w:t>教财〔20</w:t>
      </w:r>
      <w:r>
        <w:rPr>
          <w:rFonts w:ascii="仿宋_GB2312" w:cs="Times New Roman" w:eastAsia="仿宋_GB2312" w:hAnsi="宋体"/>
          <w:color w:val="444444"/>
          <w:kern w:val="0"/>
          <w:sz w:val="28"/>
          <w:szCs w:val="20"/>
        </w:rPr>
        <w:t>21</w:t>
      </w:r>
      <w:r>
        <w:rPr>
          <w:rFonts w:ascii="仿宋_GB2312" w:cs="Times New Roman" w:eastAsia="仿宋_GB2312" w:hAnsi="宋体" w:hint="eastAsia"/>
          <w:color w:val="444444"/>
          <w:kern w:val="0"/>
          <w:sz w:val="28"/>
          <w:szCs w:val="20"/>
        </w:rPr>
        <w:t>〕</w:t>
      </w:r>
      <w:r>
        <w:rPr>
          <w:rFonts w:ascii="仿宋_GB2312" w:cs="Times New Roman" w:eastAsia="仿宋_GB2312" w:hAnsi="宋体"/>
          <w:color w:val="444444"/>
          <w:kern w:val="0"/>
          <w:sz w:val="28"/>
          <w:szCs w:val="20"/>
        </w:rPr>
        <w:t>310</w:t>
      </w:r>
      <w:r>
        <w:rPr>
          <w:rFonts w:ascii="仿宋_GB2312" w:cs="Times New Roman" w:eastAsia="仿宋_GB2312" w:hAnsi="宋体" w:hint="eastAsia"/>
          <w:color w:val="444444"/>
          <w:kern w:val="0"/>
          <w:sz w:val="28"/>
          <w:szCs w:val="20"/>
        </w:rPr>
        <w:t>号）《</w:t>
      </w:r>
      <w:r>
        <w:rPr>
          <w:rFonts w:ascii="仿宋_GB2312" w:cs="Times New Roman" w:eastAsia="仿宋_GB2312" w:hAnsi="宋体" w:hint="eastAsia"/>
          <w:color w:val="444444"/>
          <w:kern w:val="0"/>
          <w:sz w:val="28"/>
          <w:szCs w:val="20"/>
        </w:rPr>
        <w:t>北京理工大学研究生学业奖学金实施细则（试行）</w:t>
      </w:r>
      <w:r>
        <w:rPr>
          <w:rFonts w:ascii="仿宋_GB2312" w:cs="Times New Roman" w:eastAsia="仿宋_GB2312" w:hAnsi="宋体" w:hint="eastAsia"/>
          <w:color w:val="444444"/>
          <w:kern w:val="0"/>
          <w:sz w:val="28"/>
          <w:szCs w:val="20"/>
        </w:rPr>
        <w:t>》</w:t>
      </w:r>
      <w:r>
        <w:rPr>
          <w:rFonts w:ascii="仿宋_GB2312" w:cs="Times New Roman" w:eastAsia="仿宋_GB2312" w:hAnsi="宋体" w:hint="eastAsia"/>
          <w:color w:val="444444"/>
          <w:kern w:val="0"/>
          <w:sz w:val="28"/>
          <w:szCs w:val="20"/>
        </w:rPr>
        <w:t>（</w:t>
      </w:r>
      <w:r>
        <w:rPr>
          <w:rFonts w:ascii="仿宋_GB2312" w:cs="Times New Roman" w:eastAsia="仿宋_GB2312" w:hAnsi="宋体" w:hint="eastAsia"/>
          <w:color w:val="444444"/>
          <w:kern w:val="0"/>
          <w:sz w:val="28"/>
          <w:szCs w:val="20"/>
        </w:rPr>
        <w:t>研函〔2021〕080号</w:t>
      </w:r>
      <w:r>
        <w:rPr>
          <w:rFonts w:ascii="仿宋_GB2312" w:cs="Times New Roman" w:eastAsia="仿宋_GB2312" w:hAnsi="宋体" w:hint="eastAsia"/>
          <w:color w:val="444444"/>
          <w:kern w:val="0"/>
          <w:sz w:val="28"/>
          <w:szCs w:val="20"/>
        </w:rPr>
        <w:t>）《北京高校马克思主义理论专业研究生新生奖学金、学术奖学金评定办法(试行)》(京教工〔2016〕20号)等上级文件以及马克思主义学院研究生工作的实际情况制定，着重强调研究生综合素质及学术科研成果，既鼓励集体精神，又肯定个性发展，将成绩进行段次划分，更加注重科学、公平。综合测评程序公平、公开，并通过量化的方式客观评价。综合测评结果作为各项评优及奖学金评定的重要依据。</w:t>
      </w:r>
    </w:p>
    <w:p>
      <w:pPr>
        <w:pStyle w:val="style0"/>
        <w:widowControl/>
        <w:spacing w:after="60" w:lineRule="auto" w:line="360"/>
        <w:jc w:val="center"/>
        <w:outlineLvl w:val="0"/>
        <w:rPr>
          <w:rFonts w:ascii="黑体" w:cs="宋体" w:eastAsia="黑体" w:hAnsi="黑体"/>
          <w:bCs/>
          <w:kern w:val="0"/>
          <w:sz w:val="32"/>
          <w:szCs w:val="32"/>
        </w:rPr>
      </w:pPr>
      <w:r>
        <w:rPr>
          <w:rFonts w:ascii="黑体" w:cs="宋体" w:eastAsia="黑体" w:hAnsi="黑体" w:hint="eastAsia"/>
          <w:bCs/>
          <w:kern w:val="0"/>
          <w:sz w:val="32"/>
          <w:szCs w:val="32"/>
        </w:rPr>
        <w:t>第一章 综合测评内容的构成</w:t>
      </w:r>
    </w:p>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综合素质测评内容共有三个部分，包括研究生该学年的专业</w:t>
      </w:r>
      <w:r>
        <w:rPr>
          <w:rFonts w:ascii="仿宋_GB2312" w:cs="Times New Roman" w:eastAsia="仿宋_GB2312" w:hAnsi="宋体"/>
          <w:color w:val="444444"/>
          <w:kern w:val="0"/>
          <w:sz w:val="28"/>
          <w:szCs w:val="28"/>
        </w:rPr>
        <w:t>成绩</w:t>
      </w:r>
      <w:r>
        <w:rPr>
          <w:rFonts w:ascii="仿宋_GB2312" w:cs="Times New Roman" w:eastAsia="仿宋_GB2312" w:hAnsi="宋体" w:hint="eastAsia"/>
          <w:color w:val="444444"/>
          <w:kern w:val="0"/>
          <w:sz w:val="28"/>
          <w:szCs w:val="28"/>
        </w:rPr>
        <w:t>、学术成果及综合素质表现。综合素质测评总分根据以上三项内容进行段次计算，专业成绩</w:t>
      </w:r>
      <w:r>
        <w:rPr>
          <w:rFonts w:ascii="仿宋_GB2312" w:cs="Times New Roman" w:eastAsia="仿宋_GB2312" w:hAnsi="宋体" w:hint="default"/>
          <w:color w:val="444444"/>
          <w:kern w:val="0"/>
          <w:sz w:val="28"/>
          <w:szCs w:val="28"/>
          <w:lang w:val="en-US"/>
        </w:rPr>
        <w:t>段次</w:t>
      </w:r>
      <w:r>
        <w:rPr>
          <w:rFonts w:ascii="仿宋_GB2312" w:cs="Times New Roman" w:eastAsia="仿宋_GB2312" w:hAnsi="宋体" w:hint="eastAsia"/>
          <w:color w:val="444444"/>
          <w:kern w:val="0"/>
          <w:sz w:val="28"/>
          <w:szCs w:val="28"/>
        </w:rPr>
        <w:t>（A）权重为30%，学术成果</w:t>
      </w:r>
      <w:r>
        <w:rPr>
          <w:rFonts w:ascii="仿宋_GB2312" w:cs="Times New Roman" w:eastAsia="仿宋_GB2312" w:hAnsi="宋体" w:hint="default"/>
          <w:color w:val="444444"/>
          <w:kern w:val="0"/>
          <w:sz w:val="28"/>
          <w:szCs w:val="28"/>
          <w:lang w:val="en-US"/>
        </w:rPr>
        <w:t>段次</w:t>
      </w:r>
      <w:r>
        <w:rPr>
          <w:rFonts w:ascii="仿宋_GB2312" w:cs="Times New Roman" w:eastAsia="仿宋_GB2312" w:hAnsi="宋体" w:hint="eastAsia"/>
          <w:color w:val="444444"/>
          <w:kern w:val="0"/>
          <w:sz w:val="28"/>
          <w:szCs w:val="28"/>
        </w:rPr>
        <w:t>（B）权重为40%，综合素质</w:t>
      </w:r>
      <w:r>
        <w:rPr>
          <w:rFonts w:ascii="仿宋_GB2312" w:cs="Times New Roman" w:eastAsia="仿宋_GB2312" w:hAnsi="宋体" w:hint="default"/>
          <w:color w:val="444444"/>
          <w:kern w:val="0"/>
          <w:sz w:val="28"/>
          <w:szCs w:val="28"/>
          <w:lang w:val="en-US"/>
        </w:rPr>
        <w:t>段次</w:t>
      </w:r>
      <w:r>
        <w:rPr>
          <w:rFonts w:ascii="仿宋_GB2312" w:cs="Times New Roman" w:eastAsia="仿宋_GB2312" w:hAnsi="宋体" w:hint="eastAsia"/>
          <w:color w:val="444444"/>
          <w:kern w:val="0"/>
          <w:sz w:val="28"/>
          <w:szCs w:val="28"/>
        </w:rPr>
        <w:t>（C）权重为3</w:t>
      </w:r>
      <w:r>
        <w:rPr>
          <w:rFonts w:ascii="仿宋_GB2312" w:cs="Times New Roman" w:eastAsia="仿宋_GB2312" w:hAnsi="宋体"/>
          <w:color w:val="444444"/>
          <w:kern w:val="0"/>
          <w:sz w:val="28"/>
          <w:szCs w:val="28"/>
        </w:rPr>
        <w:t>0</w:t>
      </w:r>
      <w:r>
        <w:rPr>
          <w:rFonts w:ascii="仿宋_GB2312" w:cs="Times New Roman" w:eastAsia="仿宋_GB2312" w:hAnsi="宋体" w:hint="eastAsia"/>
          <w:color w:val="444444"/>
          <w:kern w:val="0"/>
          <w:sz w:val="28"/>
          <w:szCs w:val="28"/>
        </w:rPr>
        <w:t>%，计算公式如下：</w:t>
      </w:r>
    </w:p>
    <w:p>
      <w:pPr>
        <w:pStyle w:val="style0"/>
        <w:widowControl/>
        <w:spacing w:lineRule="exact" w:line="520"/>
        <w:ind w:firstLine="560" w:firstLineChars="200"/>
        <w:jc w:val="left"/>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∑＝A×30%＋B×40%+ C×30%</w:t>
      </w:r>
    </w:p>
    <w:p>
      <w:pPr>
        <w:pStyle w:val="style0"/>
        <w:widowControl/>
        <w:spacing w:lineRule="exact" w:line="520"/>
        <w:ind w:firstLine="560" w:firstLineChars="200"/>
        <w:jc w:val="left"/>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综合素质测评排名按照上式计算后从小至大进行排序。</w:t>
      </w:r>
    </w:p>
    <w:p>
      <w:pPr>
        <w:pStyle w:val="style0"/>
        <w:widowControl/>
        <w:spacing w:lineRule="auto" w:line="360"/>
        <w:ind w:firstLine="562" w:firstLineChars="200"/>
        <w:jc w:val="left"/>
        <w:rPr>
          <w:rFonts w:ascii="宋体" w:cs="宋体" w:eastAsia="宋体" w:hAnsi="宋体"/>
          <w:color w:val="444444"/>
          <w:kern w:val="0"/>
          <w:sz w:val="28"/>
          <w:szCs w:val="28"/>
        </w:rPr>
      </w:pPr>
      <w:r>
        <w:rPr>
          <w:rFonts w:ascii="宋体" w:cs="Times New Roman" w:eastAsia="宋体" w:hAnsi="宋体" w:hint="eastAsia"/>
          <w:b/>
          <w:color w:val="444444"/>
          <w:kern w:val="0"/>
          <w:sz w:val="28"/>
          <w:szCs w:val="28"/>
        </w:rPr>
        <w:t>一、</w:t>
      </w:r>
      <w:r>
        <w:rPr>
          <w:rFonts w:ascii="宋体" w:cs="Times New Roman" w:eastAsia="宋体" w:hAnsi="宋体" w:hint="eastAsia"/>
          <w:b/>
          <w:kern w:val="0"/>
          <w:sz w:val="28"/>
          <w:szCs w:val="28"/>
        </w:rPr>
        <w:t>专业成绩段次（A）</w:t>
      </w:r>
    </w:p>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根据研究生培养方案所修课程成绩计算，成绩为研究生教务系统直接导出，并根据学分加权后进行测算，新生除外。</w:t>
      </w:r>
    </w:p>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具体根据成绩进行段次划分：</w:t>
      </w:r>
    </w:p>
    <w:tbl>
      <w:tblPr>
        <w:tblStyle w:val="style154"/>
        <w:tblW w:w="0" w:type="auto"/>
        <w:jc w:val="center"/>
        <w:tblLook w:val="04A0" w:firstRow="1" w:lastRow="0" w:firstColumn="1" w:lastColumn="0" w:noHBand="0" w:noVBand="1"/>
      </w:tblPr>
      <w:tblGrid>
        <w:gridCol w:w="2570"/>
        <w:gridCol w:w="1690"/>
      </w:tblGrid>
      <w:tr>
        <w:trPr>
          <w:tblHeade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成绩区间</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段次</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98≤加权分&lt;100</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95≤加权分&lt;98</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90≤加权分&lt;95</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3</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85≤加权分&lt;90</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4</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80≤加权分&lt;85</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5</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80以下</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6</w:t>
            </w:r>
          </w:p>
        </w:tc>
      </w:tr>
    </w:tbl>
    <w:p>
      <w:pPr>
        <w:pStyle w:val="style0"/>
        <w:widowControl/>
        <w:spacing w:lineRule="auto" w:line="360"/>
        <w:ind w:firstLine="562" w:firstLineChars="200"/>
        <w:jc w:val="left"/>
        <w:rPr>
          <w:rFonts w:ascii="宋体" w:cs="宋体" w:eastAsia="宋体" w:hAnsi="宋体"/>
          <w:color w:val="444444"/>
          <w:kern w:val="0"/>
          <w:sz w:val="28"/>
          <w:szCs w:val="28"/>
        </w:rPr>
      </w:pPr>
      <w:r>
        <w:rPr>
          <w:rFonts w:ascii="宋体" w:cs="Times New Roman" w:eastAsia="宋体" w:hAnsi="宋体" w:hint="eastAsia"/>
          <w:b/>
          <w:color w:val="444444"/>
          <w:kern w:val="0"/>
          <w:sz w:val="28"/>
          <w:szCs w:val="28"/>
        </w:rPr>
        <w:t>二</w:t>
      </w:r>
      <w:r>
        <w:rPr>
          <w:rFonts w:ascii="宋体" w:cs="Times New Roman" w:eastAsia="宋体" w:hAnsi="宋体" w:hint="eastAsia"/>
          <w:b/>
          <w:kern w:val="0"/>
          <w:sz w:val="28"/>
          <w:szCs w:val="28"/>
        </w:rPr>
        <w:t>、学术成果段次（B）</w:t>
      </w:r>
    </w:p>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根据</w:t>
      </w:r>
      <w:r>
        <w:rPr>
          <w:rFonts w:ascii="仿宋_GB2312" w:cs="Times New Roman" w:eastAsia="仿宋_GB2312" w:hAnsi="宋体"/>
          <w:color w:val="444444"/>
          <w:kern w:val="0"/>
          <w:sz w:val="28"/>
          <w:szCs w:val="28"/>
        </w:rPr>
        <w:t>研究生</w:t>
      </w:r>
      <w:r>
        <w:rPr>
          <w:rFonts w:ascii="仿宋_GB2312" w:cs="Times New Roman" w:eastAsia="仿宋_GB2312" w:hAnsi="宋体" w:hint="eastAsia"/>
          <w:color w:val="444444"/>
          <w:kern w:val="0"/>
          <w:sz w:val="28"/>
          <w:szCs w:val="28"/>
        </w:rPr>
        <w:t>在日常学术科研活动中的表现计算，包括学术论文、学术竞赛及创新项目等。</w:t>
      </w:r>
    </w:p>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具体根据分值段次进行划分：</w:t>
      </w:r>
    </w:p>
    <w:tbl>
      <w:tblPr>
        <w:tblStyle w:val="style154"/>
        <w:tblW w:w="0" w:type="auto"/>
        <w:jc w:val="center"/>
        <w:tblLook w:val="04A0" w:firstRow="1" w:lastRow="0" w:firstColumn="1" w:lastColumn="0" w:noHBand="0" w:noVBand="1"/>
      </w:tblPr>
      <w:tblGrid>
        <w:gridCol w:w="2570"/>
        <w:gridCol w:w="1690"/>
      </w:tblGrid>
      <w:tr>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分值区间</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段次</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20分及以上</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16≤分值&lt;20</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12≤分值&lt;16</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3</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8≤分值&lt;12</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4</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4≤分值&lt;8</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5</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4以下</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6</w:t>
            </w:r>
          </w:p>
        </w:tc>
      </w:tr>
    </w:tbl>
    <w:p>
      <w:pPr>
        <w:pStyle w:val="style0"/>
        <w:widowControl/>
        <w:spacing w:lineRule="auto" w:line="360"/>
        <w:ind w:firstLine="562" w:firstLineChars="200"/>
        <w:jc w:val="left"/>
        <w:rPr>
          <w:rFonts w:ascii="宋体" w:cs="宋体" w:eastAsia="宋体" w:hAnsi="宋体"/>
          <w:kern w:val="0"/>
          <w:sz w:val="28"/>
          <w:szCs w:val="28"/>
        </w:rPr>
      </w:pPr>
      <w:r>
        <w:rPr>
          <w:rFonts w:ascii="宋体" w:cs="Times New Roman" w:eastAsia="宋体" w:hAnsi="宋体" w:hint="eastAsia"/>
          <w:b/>
          <w:kern w:val="0"/>
          <w:sz w:val="28"/>
          <w:szCs w:val="28"/>
        </w:rPr>
        <w:t>三、综合素质段次（C）</w:t>
      </w:r>
    </w:p>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综合素质反映了研究生在各方面的表现情况，对学术活动、社会实践、</w:t>
      </w:r>
      <w:r>
        <w:rPr>
          <w:rFonts w:ascii="仿宋_GB2312" w:cs="Times New Roman" w:eastAsia="仿宋_GB2312" w:hAnsi="宋体"/>
          <w:color w:val="444444"/>
          <w:kern w:val="0"/>
          <w:sz w:val="28"/>
          <w:szCs w:val="28"/>
        </w:rPr>
        <w:t>学生</w:t>
      </w:r>
      <w:r>
        <w:rPr>
          <w:rFonts w:ascii="仿宋_GB2312" w:cs="Times New Roman" w:eastAsia="仿宋_GB2312" w:hAnsi="宋体" w:hint="eastAsia"/>
          <w:color w:val="444444"/>
          <w:kern w:val="0"/>
          <w:sz w:val="28"/>
          <w:szCs w:val="28"/>
        </w:rPr>
        <w:t>工作、文体活动等四个方面的表现进行测评。</w:t>
      </w:r>
    </w:p>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具体根据得分段次进行划分：</w:t>
      </w:r>
    </w:p>
    <w:tbl>
      <w:tblPr>
        <w:tblStyle w:val="style154"/>
        <w:tblW w:w="0" w:type="auto"/>
        <w:jc w:val="center"/>
        <w:tblLook w:val="04A0" w:firstRow="1" w:lastRow="0" w:firstColumn="1" w:lastColumn="0" w:noHBand="0" w:noVBand="1"/>
      </w:tblPr>
      <w:tblGrid>
        <w:gridCol w:w="2570"/>
        <w:gridCol w:w="1690"/>
      </w:tblGrid>
      <w:tr>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分值区间</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段次</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20分以上</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16≤分值&lt;20</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12≤分值16</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3</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8≤分值&lt;12</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4</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4≤分值&lt;8</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5</w:t>
            </w:r>
          </w:p>
        </w:tc>
      </w:tr>
      <w:tr>
        <w:tblPrEx/>
        <w:trPr>
          <w:jc w:val="center"/>
        </w:trPr>
        <w:tc>
          <w:tcPr>
            <w:tcW w:w="257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4以下</w:t>
            </w:r>
          </w:p>
        </w:tc>
        <w:tc>
          <w:tcPr>
            <w:tcW w:w="1690" w:type="dxa"/>
            <w:tcBorders/>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6</w:t>
            </w:r>
          </w:p>
        </w:tc>
      </w:tr>
    </w:tbl>
    <w:p>
      <w:pPr>
        <w:pStyle w:val="style0"/>
        <w:widowControl/>
        <w:spacing w:after="60" w:lineRule="auto" w:line="360"/>
        <w:jc w:val="center"/>
        <w:outlineLvl w:val="0"/>
        <w:rPr>
          <w:rFonts w:ascii="黑体" w:cs="宋体" w:eastAsia="黑体" w:hAnsi="黑体"/>
          <w:bCs/>
          <w:kern w:val="0"/>
          <w:sz w:val="32"/>
          <w:szCs w:val="32"/>
        </w:rPr>
      </w:pPr>
      <w:r>
        <w:rPr>
          <w:rFonts w:ascii="黑体" w:cs="宋体" w:eastAsia="黑体" w:hAnsi="黑体" w:hint="eastAsia"/>
          <w:bCs/>
          <w:kern w:val="0"/>
          <w:sz w:val="32"/>
          <w:szCs w:val="32"/>
        </w:rPr>
        <w:t>第二章 综合素质测评成绩的计算方式</w:t>
      </w:r>
    </w:p>
    <w:p>
      <w:pPr>
        <w:pStyle w:val="style0"/>
        <w:widowControl/>
        <w:adjustRightInd w:val="false"/>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综合素质测评活动每学年进行一次，以该学年报到日作为各项测评内容统计与计算的时间节点。测评总分由三项内容成绩排名按相应比重计算而得。各部分的计算方法为：</w:t>
      </w:r>
    </w:p>
    <w:p>
      <w:pPr>
        <w:pStyle w:val="style179"/>
        <w:widowControl/>
        <w:numPr>
          <w:ilvl w:val="0"/>
          <w:numId w:val="1"/>
        </w:numPr>
        <w:adjustRightInd w:val="false"/>
        <w:spacing w:lineRule="exact" w:line="520"/>
        <w:ind w:left="0" w:firstLine="200" w:firstLineChars="0"/>
        <w:jc w:val="left"/>
        <w:rPr>
          <w:rFonts w:ascii="宋体" w:cs="Times New Roman" w:eastAsia="宋体" w:hAnsi="宋体"/>
          <w:b/>
          <w:kern w:val="0"/>
          <w:sz w:val="28"/>
          <w:szCs w:val="28"/>
        </w:rPr>
      </w:pPr>
      <w:r>
        <w:rPr>
          <w:rFonts w:ascii="宋体" w:cs="Times New Roman" w:eastAsia="宋体" w:hAnsi="宋体" w:hint="eastAsia"/>
          <w:b/>
          <w:kern w:val="0"/>
          <w:sz w:val="28"/>
          <w:szCs w:val="28"/>
        </w:rPr>
        <w:t>专业成绩段次（A）</w:t>
      </w:r>
    </w:p>
    <w:p>
      <w:pPr>
        <w:pStyle w:val="style0"/>
        <w:widowControl/>
        <w:adjustRightInd w:val="false"/>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专业成绩采取成绩加权计算方式，计算公式如下：</w:t>
      </w:r>
    </w:p>
    <w:p>
      <w:pPr>
        <w:pStyle w:val="style0"/>
        <w:widowControl/>
        <w:adjustRightInd w:val="false"/>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加权成绩=（课程</w:t>
      </w:r>
      <w:r>
        <w:rPr>
          <w:rFonts w:ascii="仿宋_GB2312" w:cs="Times New Roman" w:eastAsia="仿宋_GB2312" w:hAnsi="宋体"/>
          <w:color w:val="444444"/>
          <w:kern w:val="0"/>
          <w:sz w:val="28"/>
          <w:szCs w:val="28"/>
        </w:rPr>
        <w:t>K</w:t>
      </w:r>
      <w:r>
        <w:rPr>
          <w:rFonts w:ascii="仿宋_GB2312" w:cs="Times New Roman" w:eastAsia="仿宋_GB2312" w:hAnsi="宋体"/>
          <w:color w:val="444444"/>
          <w:kern w:val="0"/>
          <w:sz w:val="28"/>
          <w:szCs w:val="28"/>
          <w:vertAlign w:val="subscript"/>
        </w:rPr>
        <w:t>1</w:t>
      </w:r>
      <w:r>
        <w:rPr>
          <w:rFonts w:ascii="仿宋_GB2312" w:cs="Times New Roman" w:eastAsia="仿宋_GB2312" w:hAnsi="宋体" w:hint="eastAsia"/>
          <w:color w:val="444444"/>
          <w:kern w:val="0"/>
          <w:sz w:val="28"/>
          <w:szCs w:val="28"/>
        </w:rPr>
        <w:t>的成绩*课程</w:t>
      </w:r>
      <w:r>
        <w:rPr>
          <w:rFonts w:ascii="仿宋_GB2312" w:cs="Times New Roman" w:eastAsia="仿宋_GB2312" w:hAnsi="宋体"/>
          <w:color w:val="444444"/>
          <w:kern w:val="0"/>
          <w:sz w:val="28"/>
          <w:szCs w:val="28"/>
        </w:rPr>
        <w:t>K</w:t>
      </w:r>
      <w:r>
        <w:rPr>
          <w:rFonts w:ascii="仿宋_GB2312" w:cs="Times New Roman" w:eastAsia="仿宋_GB2312" w:hAnsi="宋体"/>
          <w:color w:val="444444"/>
          <w:kern w:val="0"/>
          <w:sz w:val="28"/>
          <w:szCs w:val="28"/>
          <w:vertAlign w:val="subscript"/>
        </w:rPr>
        <w:t>1</w:t>
      </w:r>
      <w:r>
        <w:rPr>
          <w:rFonts w:ascii="仿宋_GB2312" w:cs="Times New Roman" w:eastAsia="仿宋_GB2312" w:hAnsi="宋体" w:hint="eastAsia"/>
          <w:color w:val="444444"/>
          <w:kern w:val="0"/>
          <w:sz w:val="28"/>
          <w:szCs w:val="28"/>
        </w:rPr>
        <w:t>的学分+课程</w:t>
      </w:r>
      <w:r>
        <w:rPr>
          <w:rFonts w:ascii="仿宋_GB2312" w:cs="Times New Roman" w:eastAsia="仿宋_GB2312" w:hAnsi="宋体"/>
          <w:color w:val="444444"/>
          <w:kern w:val="0"/>
          <w:sz w:val="28"/>
          <w:szCs w:val="28"/>
        </w:rPr>
        <w:t>K</w:t>
      </w:r>
      <w:r>
        <w:rPr>
          <w:rFonts w:ascii="仿宋_GB2312" w:cs="Times New Roman" w:eastAsia="仿宋_GB2312" w:hAnsi="宋体"/>
          <w:color w:val="444444"/>
          <w:kern w:val="0"/>
          <w:sz w:val="28"/>
          <w:szCs w:val="28"/>
          <w:vertAlign w:val="subscript"/>
        </w:rPr>
        <w:t>2</w:t>
      </w:r>
      <w:r>
        <w:rPr>
          <w:rFonts w:ascii="仿宋_GB2312" w:cs="Times New Roman" w:eastAsia="仿宋_GB2312" w:hAnsi="宋体" w:hint="eastAsia"/>
          <w:color w:val="444444"/>
          <w:kern w:val="0"/>
          <w:sz w:val="28"/>
          <w:szCs w:val="28"/>
        </w:rPr>
        <w:t>的成绩*课程</w:t>
      </w:r>
      <w:r>
        <w:rPr>
          <w:rFonts w:ascii="仿宋_GB2312" w:cs="Times New Roman" w:eastAsia="仿宋_GB2312" w:hAnsi="宋体"/>
          <w:color w:val="444444"/>
          <w:kern w:val="0"/>
          <w:sz w:val="28"/>
          <w:szCs w:val="28"/>
        </w:rPr>
        <w:t>K</w:t>
      </w:r>
      <w:r>
        <w:rPr>
          <w:rFonts w:ascii="仿宋_GB2312" w:cs="Times New Roman" w:eastAsia="仿宋_GB2312" w:hAnsi="宋体"/>
          <w:color w:val="444444"/>
          <w:kern w:val="0"/>
          <w:sz w:val="28"/>
          <w:szCs w:val="28"/>
          <w:vertAlign w:val="subscript"/>
        </w:rPr>
        <w:t>2</w:t>
      </w:r>
      <w:r>
        <w:rPr>
          <w:rFonts w:ascii="仿宋_GB2312" w:cs="Times New Roman" w:eastAsia="仿宋_GB2312" w:hAnsi="宋体" w:hint="eastAsia"/>
          <w:color w:val="444444"/>
          <w:kern w:val="0"/>
          <w:sz w:val="28"/>
          <w:szCs w:val="28"/>
        </w:rPr>
        <w:t>的学分…课程</w:t>
      </w:r>
      <w:r>
        <w:rPr>
          <w:rFonts w:ascii="仿宋_GB2312" w:cs="Times New Roman" w:eastAsia="仿宋_GB2312" w:hAnsi="宋体"/>
          <w:color w:val="444444"/>
          <w:kern w:val="0"/>
          <w:sz w:val="28"/>
          <w:szCs w:val="28"/>
        </w:rPr>
        <w:t>K</w:t>
      </w:r>
      <w:r>
        <w:rPr>
          <w:rFonts w:ascii="仿宋_GB2312" w:cs="Times New Roman" w:eastAsia="仿宋_GB2312" w:hAnsi="宋体"/>
          <w:color w:val="444444"/>
          <w:kern w:val="0"/>
          <w:sz w:val="28"/>
          <w:szCs w:val="28"/>
          <w:vertAlign w:val="subscript"/>
        </w:rPr>
        <w:t>n</w:t>
      </w:r>
      <w:r>
        <w:rPr>
          <w:rFonts w:ascii="仿宋_GB2312" w:cs="Times New Roman" w:eastAsia="仿宋_GB2312" w:hAnsi="宋体" w:hint="eastAsia"/>
          <w:color w:val="444444"/>
          <w:kern w:val="0"/>
          <w:sz w:val="28"/>
          <w:szCs w:val="28"/>
        </w:rPr>
        <w:t>的成绩*课程</w:t>
      </w:r>
      <w:r>
        <w:rPr>
          <w:rFonts w:ascii="仿宋_GB2312" w:cs="Times New Roman" w:eastAsia="仿宋_GB2312" w:hAnsi="宋体" w:hint="eastAsia"/>
          <w:color w:val="444444"/>
          <w:kern w:val="0"/>
          <w:sz w:val="28"/>
          <w:szCs w:val="28"/>
        </w:rPr>
        <w:t>K</w:t>
      </w:r>
      <w:r>
        <w:rPr>
          <w:rFonts w:ascii="仿宋_GB2312" w:cs="Times New Roman" w:eastAsia="仿宋_GB2312" w:hAnsi="宋体"/>
          <w:color w:val="444444"/>
          <w:kern w:val="0"/>
          <w:sz w:val="28"/>
          <w:szCs w:val="28"/>
          <w:vertAlign w:val="subscript"/>
        </w:rPr>
        <w:t>n</w:t>
      </w:r>
      <w:r>
        <w:rPr>
          <w:rFonts w:ascii="仿宋_GB2312" w:cs="Times New Roman" w:eastAsia="仿宋_GB2312" w:hAnsi="宋体" w:hint="eastAsia"/>
          <w:color w:val="444444"/>
          <w:kern w:val="0"/>
          <w:sz w:val="28"/>
          <w:szCs w:val="28"/>
        </w:rPr>
        <w:t>的学分）/（课程</w:t>
      </w:r>
      <w:r>
        <w:rPr>
          <w:rFonts w:ascii="仿宋_GB2312" w:cs="Times New Roman" w:eastAsia="仿宋_GB2312" w:hAnsi="宋体"/>
          <w:color w:val="444444"/>
          <w:kern w:val="0"/>
          <w:sz w:val="28"/>
          <w:szCs w:val="28"/>
        </w:rPr>
        <w:t>K</w:t>
      </w:r>
      <w:r>
        <w:rPr>
          <w:rFonts w:ascii="仿宋_GB2312" w:cs="Times New Roman" w:eastAsia="仿宋_GB2312" w:hAnsi="宋体"/>
          <w:color w:val="444444"/>
          <w:kern w:val="0"/>
          <w:sz w:val="28"/>
          <w:szCs w:val="28"/>
          <w:vertAlign w:val="subscript"/>
        </w:rPr>
        <w:t>1</w:t>
      </w:r>
      <w:r>
        <w:rPr>
          <w:rFonts w:ascii="仿宋_GB2312" w:cs="Times New Roman" w:eastAsia="仿宋_GB2312" w:hAnsi="宋体" w:hint="eastAsia"/>
          <w:color w:val="444444"/>
          <w:kern w:val="0"/>
          <w:sz w:val="28"/>
          <w:szCs w:val="28"/>
        </w:rPr>
        <w:t>的学分+课程</w:t>
      </w:r>
      <w:r>
        <w:rPr>
          <w:rFonts w:ascii="仿宋_GB2312" w:cs="Times New Roman" w:eastAsia="仿宋_GB2312" w:hAnsi="宋体"/>
          <w:color w:val="444444"/>
          <w:kern w:val="0"/>
          <w:sz w:val="28"/>
          <w:szCs w:val="28"/>
        </w:rPr>
        <w:t>K</w:t>
      </w:r>
      <w:r>
        <w:rPr>
          <w:rFonts w:ascii="仿宋_GB2312" w:cs="Times New Roman" w:eastAsia="仿宋_GB2312" w:hAnsi="宋体"/>
          <w:color w:val="444444"/>
          <w:kern w:val="0"/>
          <w:sz w:val="28"/>
          <w:szCs w:val="28"/>
          <w:vertAlign w:val="subscript"/>
        </w:rPr>
        <w:t>2</w:t>
      </w:r>
      <w:r>
        <w:rPr>
          <w:rFonts w:ascii="仿宋_GB2312" w:cs="Times New Roman" w:eastAsia="仿宋_GB2312" w:hAnsi="宋体" w:hint="eastAsia"/>
          <w:color w:val="444444"/>
          <w:kern w:val="0"/>
          <w:sz w:val="28"/>
          <w:szCs w:val="28"/>
        </w:rPr>
        <w:t>的学分+…+课程</w:t>
      </w:r>
      <w:r>
        <w:rPr>
          <w:rFonts w:ascii="仿宋_GB2312" w:cs="Times New Roman" w:eastAsia="仿宋_GB2312" w:hAnsi="宋体"/>
          <w:color w:val="444444"/>
          <w:kern w:val="0"/>
          <w:sz w:val="28"/>
          <w:szCs w:val="28"/>
        </w:rPr>
        <w:t>K</w:t>
      </w:r>
      <w:r>
        <w:rPr>
          <w:rFonts w:ascii="仿宋_GB2312" w:cs="Times New Roman" w:eastAsia="仿宋_GB2312" w:hAnsi="宋体"/>
          <w:color w:val="444444"/>
          <w:kern w:val="0"/>
          <w:sz w:val="28"/>
          <w:szCs w:val="28"/>
          <w:vertAlign w:val="subscript"/>
        </w:rPr>
        <w:t>n</w:t>
      </w:r>
      <w:r>
        <w:rPr>
          <w:rFonts w:ascii="仿宋_GB2312" w:cs="Times New Roman" w:eastAsia="仿宋_GB2312" w:hAnsi="宋体" w:hint="eastAsia"/>
          <w:color w:val="444444"/>
          <w:kern w:val="0"/>
          <w:sz w:val="28"/>
          <w:szCs w:val="28"/>
        </w:rPr>
        <w:t>的学分）</w:t>
      </w:r>
    </w:p>
    <w:p>
      <w:pPr>
        <w:pStyle w:val="style0"/>
        <w:widowControl/>
        <w:adjustRightInd w:val="false"/>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加权成绩所在成绩区间</w:t>
      </w:r>
      <w:r>
        <w:rPr>
          <w:rFonts w:ascii="仿宋_GB2312" w:cs="Times New Roman" w:eastAsia="仿宋_GB2312" w:hAnsi="宋体" w:hint="eastAsia"/>
          <w:color w:val="444444"/>
          <w:kern w:val="0"/>
          <w:sz w:val="28"/>
          <w:szCs w:val="28"/>
        </w:rPr>
        <w:t>即为A的</w:t>
      </w:r>
      <w:r>
        <w:rPr>
          <w:rFonts w:ascii="仿宋_GB2312" w:cs="Times New Roman" w:eastAsia="仿宋_GB2312" w:hAnsi="宋体" w:hint="eastAsia"/>
          <w:color w:val="444444"/>
          <w:kern w:val="0"/>
          <w:sz w:val="28"/>
          <w:szCs w:val="28"/>
        </w:rPr>
        <w:t>段次</w:t>
      </w:r>
      <w:r>
        <w:rPr>
          <w:rFonts w:ascii="仿宋_GB2312" w:cs="Times New Roman" w:eastAsia="仿宋_GB2312" w:hAnsi="宋体" w:hint="eastAsia"/>
          <w:color w:val="444444"/>
          <w:kern w:val="0"/>
          <w:sz w:val="28"/>
          <w:szCs w:val="28"/>
        </w:rPr>
        <w:t>数值。</w:t>
      </w:r>
    </w:p>
    <w:p>
      <w:pPr>
        <w:pStyle w:val="style179"/>
        <w:widowControl/>
        <w:numPr>
          <w:ilvl w:val="0"/>
          <w:numId w:val="1"/>
        </w:numPr>
        <w:adjustRightInd w:val="false"/>
        <w:spacing w:lineRule="exact" w:line="520"/>
        <w:ind w:left="0" w:firstLine="200" w:firstLineChars="0"/>
        <w:jc w:val="left"/>
        <w:rPr>
          <w:rFonts w:ascii="宋体" w:cs="Times New Roman" w:eastAsia="宋体" w:hAnsi="宋体"/>
          <w:b/>
          <w:kern w:val="0"/>
          <w:sz w:val="28"/>
          <w:szCs w:val="28"/>
        </w:rPr>
      </w:pPr>
      <w:r>
        <w:rPr>
          <w:rFonts w:ascii="宋体" w:cs="Times New Roman" w:eastAsia="宋体" w:hAnsi="宋体" w:hint="eastAsia"/>
          <w:b/>
          <w:kern w:val="0"/>
          <w:sz w:val="28"/>
          <w:szCs w:val="28"/>
        </w:rPr>
        <w:t>学术成果</w:t>
      </w:r>
      <w:r>
        <w:rPr>
          <w:rFonts w:ascii="宋体" w:cs="Times New Roman" w:eastAsia="宋体" w:hAnsi="宋体" w:hint="eastAsia"/>
          <w:b/>
          <w:kern w:val="0"/>
          <w:sz w:val="28"/>
          <w:szCs w:val="28"/>
        </w:rPr>
        <w:t>段次</w:t>
      </w:r>
      <w:r>
        <w:rPr>
          <w:rFonts w:ascii="宋体" w:cs="Times New Roman" w:eastAsia="宋体" w:hAnsi="宋体"/>
          <w:b/>
          <w:kern w:val="0"/>
          <w:sz w:val="28"/>
          <w:szCs w:val="28"/>
        </w:rPr>
        <w:t>（</w:t>
      </w:r>
      <w:r>
        <w:rPr>
          <w:rFonts w:ascii="宋体" w:cs="Times New Roman" w:eastAsia="宋体" w:hAnsi="宋体" w:hint="eastAsia"/>
          <w:b/>
          <w:kern w:val="0"/>
          <w:sz w:val="28"/>
          <w:szCs w:val="28"/>
        </w:rPr>
        <w:t>B</w:t>
      </w:r>
      <w:r>
        <w:rPr>
          <w:rFonts w:ascii="宋体" w:cs="Times New Roman" w:eastAsia="宋体" w:hAnsi="宋体"/>
          <w:b/>
          <w:kern w:val="0"/>
          <w:sz w:val="28"/>
          <w:szCs w:val="28"/>
        </w:rPr>
        <w:t>）</w:t>
      </w:r>
    </w:p>
    <w:p>
      <w:pPr>
        <w:pStyle w:val="style0"/>
        <w:widowControl/>
        <w:adjustRightInd w:val="false"/>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学术成果的测评包括学术论文得分、</w:t>
      </w:r>
      <w:r>
        <w:rPr>
          <w:rFonts w:ascii="仿宋_GB2312" w:cs="Times New Roman" w:eastAsia="仿宋_GB2312" w:hAnsi="宋体" w:hint="eastAsia"/>
          <w:color w:val="444444"/>
          <w:kern w:val="0"/>
          <w:sz w:val="28"/>
          <w:szCs w:val="28"/>
        </w:rPr>
        <w:t>科研课题得分、</w:t>
      </w:r>
      <w:r>
        <w:rPr>
          <w:rFonts w:ascii="仿宋_GB2312" w:cs="Times New Roman" w:eastAsia="仿宋_GB2312" w:hAnsi="宋体" w:hint="eastAsia"/>
          <w:color w:val="444444"/>
          <w:kern w:val="0"/>
          <w:sz w:val="28"/>
          <w:szCs w:val="28"/>
        </w:rPr>
        <w:t>学术活动</w:t>
      </w:r>
      <w:r>
        <w:rPr>
          <w:rFonts w:ascii="仿宋_GB2312" w:cs="Times New Roman" w:eastAsia="仿宋_GB2312" w:hAnsi="宋体" w:hint="eastAsia"/>
          <w:color w:val="444444"/>
          <w:kern w:val="0"/>
          <w:sz w:val="28"/>
          <w:szCs w:val="28"/>
        </w:rPr>
        <w:t>、</w:t>
      </w:r>
      <w:r>
        <w:rPr>
          <w:rFonts w:ascii="仿宋_GB2312" w:cs="Times New Roman" w:eastAsia="仿宋_GB2312" w:hAnsi="宋体" w:hint="eastAsia"/>
          <w:color w:val="444444"/>
          <w:kern w:val="0"/>
          <w:sz w:val="28"/>
          <w:szCs w:val="28"/>
        </w:rPr>
        <w:t>竞赛等，按以下标准累积计算总和，所得段次即为</w:t>
      </w:r>
      <w:r>
        <w:rPr>
          <w:rFonts w:ascii="仿宋_GB2312" w:cs="Times New Roman" w:eastAsia="仿宋_GB2312" w:hAnsi="宋体"/>
          <w:color w:val="444444"/>
          <w:kern w:val="0"/>
          <w:sz w:val="28"/>
          <w:szCs w:val="28"/>
        </w:rPr>
        <w:t>B</w:t>
      </w:r>
      <w:r>
        <w:rPr>
          <w:rFonts w:ascii="仿宋_GB2312" w:cs="Times New Roman" w:eastAsia="仿宋_GB2312" w:hAnsi="宋体" w:hint="eastAsia"/>
          <w:color w:val="444444"/>
          <w:kern w:val="0"/>
          <w:sz w:val="28"/>
          <w:szCs w:val="28"/>
        </w:rPr>
        <w:t>的数值。</w:t>
      </w:r>
    </w:p>
    <w:p>
      <w:pPr>
        <w:pStyle w:val="style179"/>
        <w:widowControl/>
        <w:numPr>
          <w:ilvl w:val="0"/>
          <w:numId w:val="7"/>
        </w:numPr>
        <w:adjustRightInd w:val="false"/>
        <w:spacing w:lineRule="exact" w:line="520"/>
        <w:ind w:left="-420" w:firstLine="562"/>
        <w:rPr>
          <w:rFonts w:ascii="仿宋_GB2312" w:cs="Times New Roman" w:eastAsia="仿宋_GB2312" w:hAnsi="宋体"/>
          <w:b/>
          <w:color w:val="444444"/>
          <w:kern w:val="0"/>
          <w:sz w:val="28"/>
          <w:szCs w:val="28"/>
        </w:rPr>
      </w:pPr>
      <w:r>
        <w:rPr>
          <w:rFonts w:ascii="仿宋_GB2312" w:cs="Times New Roman" w:eastAsia="仿宋_GB2312" w:hAnsi="宋体" w:hint="eastAsia"/>
          <w:b/>
          <w:color w:val="444444"/>
          <w:kern w:val="0"/>
          <w:sz w:val="28"/>
          <w:szCs w:val="28"/>
        </w:rPr>
        <w:t>学术论文</w:t>
      </w:r>
      <w:r>
        <w:rPr>
          <w:rFonts w:ascii="仿宋_GB2312" w:cs="Times New Roman" w:eastAsia="仿宋_GB2312" w:hAnsi="宋体" w:hint="eastAsia"/>
          <w:b/>
          <w:color w:val="444444"/>
          <w:kern w:val="0"/>
          <w:sz w:val="28"/>
          <w:szCs w:val="28"/>
        </w:rPr>
        <w:t>计分表</w:t>
      </w:r>
    </w:p>
    <w:tbl>
      <w:tblPr>
        <w:tblpPr w:leftFromText="180" w:rightFromText="180" w:topFromText="0" w:bottomFromText="0" w:vertAnchor="text" w:horzAnchor="margin" w:tblpXSpec="center" w:tblpY="105"/>
        <w:tblW w:w="92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2"/>
        <w:gridCol w:w="2060"/>
        <w:gridCol w:w="1772"/>
      </w:tblGrid>
      <w:tr>
        <w:trPr>
          <w:trHeight w:val="567" w:hRule="atLeast"/>
        </w:trPr>
        <w:tc>
          <w:tcPr>
            <w:tcW w:w="5382"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项目</w:t>
            </w:r>
          </w:p>
        </w:tc>
        <w:tc>
          <w:tcPr>
            <w:tcW w:w="3832"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分数</w:t>
            </w:r>
          </w:p>
        </w:tc>
      </w:tr>
      <w:tr>
        <w:tblPrEx/>
        <w:trPr>
          <w:trHeight w:val="692" w:hRule="atLeast"/>
        </w:trPr>
        <w:tc>
          <w:tcPr>
            <w:tcW w:w="5382"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学院认定的顶级期刊</w:t>
            </w:r>
            <w:r>
              <w:rPr>
                <w:rFonts w:ascii="仿宋_GB2312" w:cs="Times New Roman" w:eastAsia="仿宋_GB2312" w:hAnsi="宋体" w:hint="eastAsia"/>
                <w:color w:val="444444"/>
                <w:kern w:val="0"/>
                <w:sz w:val="28"/>
                <w:szCs w:val="28"/>
              </w:rPr>
              <w:t>；</w:t>
            </w:r>
          </w:p>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三报一刊理论版</w:t>
            </w:r>
          </w:p>
        </w:tc>
        <w:tc>
          <w:tcPr>
            <w:tcW w:w="3832"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4</w:t>
            </w:r>
            <w:r>
              <w:rPr>
                <w:rFonts w:ascii="仿宋_GB2312" w:cs="Times New Roman" w:eastAsia="仿宋_GB2312" w:hAnsi="宋体"/>
                <w:color w:val="444444"/>
                <w:kern w:val="0"/>
                <w:sz w:val="28"/>
                <w:szCs w:val="28"/>
              </w:rPr>
              <w:t>0</w:t>
            </w:r>
          </w:p>
        </w:tc>
      </w:tr>
      <w:tr>
        <w:tblPrEx/>
        <w:trPr>
          <w:trHeight w:val="692" w:hRule="atLeast"/>
        </w:trPr>
        <w:tc>
          <w:tcPr>
            <w:tcW w:w="5382"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学院认定的重要期刊</w:t>
            </w:r>
          </w:p>
        </w:tc>
        <w:tc>
          <w:tcPr>
            <w:tcW w:w="3832"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w:t>
            </w:r>
            <w:r>
              <w:rPr>
                <w:rFonts w:ascii="仿宋_GB2312" w:cs="Times New Roman" w:eastAsia="仿宋_GB2312" w:hAnsi="宋体"/>
                <w:color w:val="444444"/>
                <w:kern w:val="0"/>
                <w:sz w:val="28"/>
                <w:szCs w:val="28"/>
              </w:rPr>
              <w:t>0</w:t>
            </w:r>
          </w:p>
        </w:tc>
      </w:tr>
      <w:tr>
        <w:tblPrEx/>
        <w:trPr>
          <w:trHeight w:val="692" w:hRule="atLeast"/>
        </w:trPr>
        <w:tc>
          <w:tcPr>
            <w:tcW w:w="5382"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CSSCI来源期刊</w:t>
            </w:r>
            <w:r>
              <w:rPr>
                <w:rFonts w:ascii="仿宋_GB2312" w:cs="Times New Roman" w:eastAsia="仿宋_GB2312" w:hAnsi="宋体" w:hint="eastAsia"/>
                <w:color w:val="444444"/>
                <w:kern w:val="0"/>
                <w:sz w:val="28"/>
                <w:szCs w:val="28"/>
              </w:rPr>
              <w:t>；</w:t>
            </w:r>
          </w:p>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北京理工大学学报（社会科学版）；</w:t>
            </w:r>
          </w:p>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被中国人民大学复印报刊资料全文转载；</w:t>
            </w:r>
          </w:p>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三报一刊非理论版</w:t>
            </w:r>
          </w:p>
        </w:tc>
        <w:tc>
          <w:tcPr>
            <w:tcW w:w="3832"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10</w:t>
            </w:r>
          </w:p>
        </w:tc>
      </w:tr>
      <w:tr>
        <w:tblPrEx/>
        <w:trPr>
          <w:trHeight w:val="692" w:hRule="atLeast"/>
        </w:trPr>
        <w:tc>
          <w:tcPr>
            <w:tcW w:w="5382"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北大核心</w:t>
            </w:r>
            <w:r>
              <w:rPr>
                <w:rFonts w:ascii="仿宋_GB2312" w:cs="Times New Roman" w:eastAsia="仿宋_GB2312" w:hAnsi="宋体" w:hint="eastAsia"/>
                <w:color w:val="444444"/>
                <w:kern w:val="0"/>
                <w:sz w:val="28"/>
                <w:szCs w:val="28"/>
              </w:rPr>
              <w:t>；</w:t>
            </w:r>
          </w:p>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CSSCI扩展期刊</w:t>
            </w:r>
          </w:p>
        </w:tc>
        <w:tc>
          <w:tcPr>
            <w:tcW w:w="3832"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5</w:t>
            </w:r>
          </w:p>
        </w:tc>
      </w:tr>
      <w:tr>
        <w:tblPrEx/>
        <w:trPr>
          <w:trHeight w:val="692" w:hRule="atLeast"/>
        </w:trPr>
        <w:tc>
          <w:tcPr>
            <w:tcW w:w="5382"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其他</w:t>
            </w:r>
          </w:p>
        </w:tc>
        <w:tc>
          <w:tcPr>
            <w:tcW w:w="3832"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3</w:t>
            </w:r>
          </w:p>
        </w:tc>
      </w:tr>
      <w:tr>
        <w:tblPrEx/>
        <w:trPr>
          <w:trHeight w:val="248" w:hRule="atLeast"/>
        </w:trPr>
        <w:tc>
          <w:tcPr>
            <w:tcW w:w="5382" w:type="dxa"/>
            <w:tcBorders>
              <w:top w:val="single" w:sz="4" w:space="0" w:color="auto"/>
              <w:left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网络文章</w:t>
            </w:r>
          </w:p>
        </w:tc>
        <w:tc>
          <w:tcPr>
            <w:tcW w:w="3832"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2</w:t>
            </w:r>
          </w:p>
        </w:tc>
      </w:tr>
      <w:tr>
        <w:tblPrEx/>
        <w:trPr>
          <w:trHeight w:val="248" w:hRule="atLeast"/>
        </w:trPr>
        <w:tc>
          <w:tcPr>
            <w:tcW w:w="5382" w:type="dxa"/>
            <w:tcBorders>
              <w:top w:val="single" w:sz="4" w:space="0" w:color="auto"/>
              <w:left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学术著作</w:t>
            </w:r>
          </w:p>
        </w:tc>
        <w:tc>
          <w:tcPr>
            <w:tcW w:w="2060"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学术专著</w:t>
            </w:r>
          </w:p>
        </w:tc>
        <w:tc>
          <w:tcPr>
            <w:tcW w:w="1772"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2</w:t>
            </w:r>
            <w:r>
              <w:rPr>
                <w:rFonts w:ascii="仿宋_GB2312" w:cs="Times New Roman" w:eastAsia="仿宋_GB2312" w:hAnsi="宋体"/>
                <w:color w:val="444444"/>
                <w:kern w:val="0"/>
                <w:sz w:val="28"/>
                <w:szCs w:val="28"/>
              </w:rPr>
              <w:t>/1</w:t>
            </w:r>
            <w:r>
              <w:rPr>
                <w:rFonts w:ascii="仿宋_GB2312" w:cs="Times New Roman" w:eastAsia="仿宋_GB2312" w:hAnsi="宋体" w:hint="eastAsia"/>
                <w:color w:val="444444"/>
                <w:kern w:val="0"/>
                <w:sz w:val="28"/>
                <w:szCs w:val="28"/>
              </w:rPr>
              <w:t>万字</w:t>
            </w:r>
          </w:p>
        </w:tc>
      </w:tr>
    </w:tbl>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注：</w:t>
      </w:r>
    </w:p>
    <w:p>
      <w:pPr>
        <w:pStyle w:val="style179"/>
        <w:widowControl/>
        <w:numPr>
          <w:ilvl w:val="0"/>
          <w:numId w:val="9"/>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发表学术论文得分仅限我院学生为第一作者及导师为第一作者学生为第二作者的情况，否则不予加分，作者在论文中填写所在学院须为</w:t>
      </w:r>
      <w:r>
        <w:rPr>
          <w:rFonts w:ascii="仿宋_GB2312" w:cs="Times New Roman" w:eastAsia="仿宋_GB2312" w:hAnsi="宋体" w:hint="eastAsia"/>
          <w:color w:val="444444"/>
          <w:kern w:val="0"/>
          <w:sz w:val="28"/>
          <w:szCs w:val="28"/>
        </w:rPr>
        <w:t>北京理工大学</w:t>
      </w:r>
      <w:r>
        <w:rPr>
          <w:rFonts w:ascii="仿宋_GB2312" w:cs="Times New Roman" w:eastAsia="仿宋_GB2312" w:hAnsi="宋体" w:hint="eastAsia"/>
          <w:color w:val="444444"/>
          <w:kern w:val="0"/>
          <w:sz w:val="28"/>
          <w:szCs w:val="28"/>
        </w:rPr>
        <w:t>马克思主义学院</w:t>
      </w:r>
      <w:r>
        <w:rPr>
          <w:rFonts w:ascii="仿宋_GB2312" w:cs="Times New Roman" w:eastAsia="仿宋_GB2312" w:hAnsi="宋体" w:hint="eastAsia"/>
          <w:color w:val="444444"/>
          <w:kern w:val="0"/>
          <w:sz w:val="28"/>
          <w:szCs w:val="28"/>
        </w:rPr>
        <w:t>。</w:t>
      </w:r>
    </w:p>
    <w:p>
      <w:pPr>
        <w:pStyle w:val="style179"/>
        <w:widowControl/>
        <w:numPr>
          <w:ilvl w:val="0"/>
          <w:numId w:val="7"/>
        </w:numPr>
        <w:adjustRightInd w:val="false"/>
        <w:spacing w:lineRule="exact" w:line="520"/>
        <w:ind w:left="-420" w:firstLine="562"/>
        <w:rPr>
          <w:rFonts w:ascii="仿宋_GB2312" w:cs="Times New Roman" w:eastAsia="仿宋_GB2312" w:hAnsi="宋体"/>
          <w:b/>
          <w:color w:val="444444"/>
          <w:kern w:val="0"/>
          <w:sz w:val="28"/>
          <w:szCs w:val="28"/>
        </w:rPr>
      </w:pPr>
      <w:r>
        <w:rPr>
          <w:rFonts w:ascii="仿宋_GB2312" w:cs="Times New Roman" w:eastAsia="仿宋_GB2312" w:hAnsi="宋体" w:hint="eastAsia"/>
          <w:b/>
          <w:color w:val="444444"/>
          <w:kern w:val="0"/>
          <w:sz w:val="28"/>
          <w:szCs w:val="28"/>
        </w:rPr>
        <w:t>主持、参与科研课题（经费在学校且研究生为主持人、参加人）计分表</w:t>
      </w:r>
    </w:p>
    <w:tbl>
      <w:tblPr>
        <w:tblStyle w:val="style154"/>
        <w:tblW w:w="5000" w:type="pct"/>
        <w:jc w:val="center"/>
        <w:tblLook w:val="04A0" w:firstRow="1" w:lastRow="0" w:firstColumn="1" w:lastColumn="0" w:noHBand="0" w:noVBand="1"/>
      </w:tblPr>
      <w:tblGrid>
        <w:gridCol w:w="2331"/>
        <w:gridCol w:w="2331"/>
      </w:tblGrid>
      <w:tr>
        <w:trPr>
          <w:trHeight w:val="567" w:hRule="atLeast"/>
          <w:jc w:val="center"/>
        </w:trPr>
        <w:tc>
          <w:tcPr>
            <w:tcW w:w="1405" w:type="pct"/>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类别</w:t>
            </w:r>
          </w:p>
        </w:tc>
        <w:tc>
          <w:tcPr>
            <w:tcW w:w="1405" w:type="pct"/>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参考</w:t>
            </w:r>
            <w:r>
              <w:rPr>
                <w:rFonts w:ascii="仿宋_GB2312" w:cs="Times New Roman" w:eastAsia="仿宋_GB2312" w:hAnsi="宋体"/>
                <w:color w:val="444444"/>
                <w:kern w:val="0"/>
                <w:sz w:val="28"/>
                <w:szCs w:val="28"/>
              </w:rPr>
              <w:t>分数</w:t>
            </w:r>
            <w:r>
              <w:rPr>
                <w:rFonts w:ascii="仿宋_GB2312" w:cs="Times New Roman" w:eastAsia="仿宋_GB2312" w:hAnsi="宋体" w:hint="eastAsia"/>
                <w:color w:val="444444"/>
                <w:kern w:val="0"/>
                <w:sz w:val="28"/>
                <w:szCs w:val="28"/>
              </w:rPr>
              <w:t>（每项）</w:t>
            </w:r>
          </w:p>
        </w:tc>
      </w:tr>
      <w:tr>
        <w:tblPrEx/>
        <w:trPr>
          <w:trHeight w:val="567" w:hRule="atLeast"/>
          <w:jc w:val="center"/>
        </w:trPr>
        <w:tc>
          <w:tcPr>
            <w:tcW w:w="1405" w:type="pct"/>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参与</w:t>
            </w:r>
            <w:r>
              <w:rPr>
                <w:rFonts w:ascii="仿宋_GB2312" w:cs="Times New Roman" w:eastAsia="仿宋_GB2312" w:hAnsi="宋体"/>
                <w:color w:val="444444"/>
                <w:kern w:val="0"/>
                <w:sz w:val="28"/>
                <w:szCs w:val="28"/>
              </w:rPr>
              <w:t>老师科研课题</w:t>
            </w:r>
          </w:p>
        </w:tc>
        <w:tc>
          <w:tcPr>
            <w:tcW w:w="1405" w:type="pct"/>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w:t>
            </w:r>
          </w:p>
        </w:tc>
      </w:tr>
      <w:tr>
        <w:tblPrEx/>
        <w:trPr>
          <w:trHeight w:val="567" w:hRule="atLeast"/>
          <w:jc w:val="center"/>
        </w:trPr>
        <w:tc>
          <w:tcPr>
            <w:tcW w:w="1405" w:type="pct"/>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主持科研课题</w:t>
            </w:r>
          </w:p>
        </w:tc>
        <w:tc>
          <w:tcPr>
            <w:tcW w:w="1405" w:type="pct"/>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4</w:t>
            </w:r>
          </w:p>
        </w:tc>
      </w:tr>
    </w:tbl>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注</w:t>
      </w:r>
      <w:r>
        <w:rPr>
          <w:rFonts w:ascii="仿宋_GB2312" w:cs="Times New Roman" w:eastAsia="仿宋_GB2312" w:hAnsi="宋体"/>
          <w:color w:val="444444"/>
          <w:kern w:val="0"/>
          <w:sz w:val="28"/>
          <w:szCs w:val="28"/>
        </w:rPr>
        <w:t>：</w:t>
      </w:r>
    </w:p>
    <w:p>
      <w:pPr>
        <w:pStyle w:val="style179"/>
        <w:widowControl/>
        <w:numPr>
          <w:ilvl w:val="0"/>
          <w:numId w:val="10"/>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参与科研课题</w:t>
      </w:r>
      <w:r>
        <w:rPr>
          <w:rFonts w:ascii="仿宋_GB2312" w:cs="Times New Roman" w:eastAsia="仿宋_GB2312" w:hAnsi="宋体"/>
          <w:color w:val="444444"/>
          <w:kern w:val="0"/>
          <w:sz w:val="28"/>
          <w:szCs w:val="28"/>
        </w:rPr>
        <w:t>得分</w:t>
      </w:r>
      <w:r>
        <w:rPr>
          <w:rFonts w:ascii="仿宋_GB2312" w:cs="Times New Roman" w:eastAsia="仿宋_GB2312" w:hAnsi="宋体" w:hint="eastAsia"/>
          <w:color w:val="444444"/>
          <w:kern w:val="0"/>
          <w:sz w:val="28"/>
          <w:szCs w:val="28"/>
        </w:rPr>
        <w:t>上限1</w:t>
      </w:r>
      <w:r>
        <w:rPr>
          <w:rFonts w:ascii="仿宋_GB2312" w:cs="Times New Roman" w:eastAsia="仿宋_GB2312" w:hAnsi="宋体"/>
          <w:color w:val="444444"/>
          <w:kern w:val="0"/>
          <w:sz w:val="28"/>
          <w:szCs w:val="28"/>
        </w:rPr>
        <w:t>0</w:t>
      </w:r>
      <w:r>
        <w:rPr>
          <w:rFonts w:ascii="仿宋_GB2312" w:cs="Times New Roman" w:eastAsia="仿宋_GB2312" w:hAnsi="宋体" w:hint="eastAsia"/>
          <w:color w:val="444444"/>
          <w:kern w:val="0"/>
          <w:sz w:val="28"/>
          <w:szCs w:val="28"/>
        </w:rPr>
        <w:t>分</w:t>
      </w:r>
      <w:r>
        <w:rPr>
          <w:rFonts w:ascii="仿宋_GB2312" w:cs="Times New Roman" w:eastAsia="仿宋_GB2312" w:hAnsi="宋体"/>
          <w:color w:val="444444"/>
          <w:kern w:val="0"/>
          <w:sz w:val="28"/>
          <w:szCs w:val="28"/>
        </w:rPr>
        <w:t>；</w:t>
      </w:r>
    </w:p>
    <w:p>
      <w:pPr>
        <w:pStyle w:val="style179"/>
        <w:widowControl/>
        <w:numPr>
          <w:ilvl w:val="0"/>
          <w:numId w:val="10"/>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申请人</w:t>
      </w:r>
      <w:r>
        <w:rPr>
          <w:rFonts w:ascii="仿宋_GB2312" w:cs="Times New Roman" w:eastAsia="仿宋_GB2312" w:hAnsi="宋体" w:hint="eastAsia"/>
          <w:color w:val="444444"/>
          <w:kern w:val="0"/>
          <w:sz w:val="28"/>
          <w:szCs w:val="28"/>
        </w:rPr>
        <w:t>须</w:t>
      </w:r>
      <w:r>
        <w:rPr>
          <w:rFonts w:ascii="仿宋_GB2312" w:cs="Times New Roman" w:eastAsia="仿宋_GB2312" w:hAnsi="宋体"/>
          <w:color w:val="444444"/>
          <w:kern w:val="0"/>
          <w:sz w:val="28"/>
          <w:szCs w:val="28"/>
        </w:rPr>
        <w:t>提交立项</w:t>
      </w:r>
      <w:r>
        <w:rPr>
          <w:rFonts w:ascii="仿宋_GB2312" w:cs="Times New Roman" w:eastAsia="仿宋_GB2312" w:hAnsi="宋体" w:hint="eastAsia"/>
          <w:color w:val="444444"/>
          <w:kern w:val="0"/>
          <w:sz w:val="28"/>
          <w:szCs w:val="28"/>
        </w:rPr>
        <w:t>/结题</w:t>
      </w:r>
      <w:r>
        <w:rPr>
          <w:rFonts w:ascii="仿宋_GB2312" w:cs="Times New Roman" w:eastAsia="仿宋_GB2312" w:hAnsi="宋体"/>
          <w:color w:val="444444"/>
          <w:kern w:val="0"/>
          <w:sz w:val="28"/>
          <w:szCs w:val="28"/>
        </w:rPr>
        <w:t>书复印件；若无立项书</w:t>
      </w:r>
      <w:r>
        <w:rPr>
          <w:rFonts w:ascii="仿宋_GB2312" w:cs="Times New Roman" w:eastAsia="仿宋_GB2312" w:hAnsi="宋体" w:hint="eastAsia"/>
          <w:color w:val="444444"/>
          <w:kern w:val="0"/>
          <w:sz w:val="28"/>
          <w:szCs w:val="28"/>
        </w:rPr>
        <w:t>/结题</w:t>
      </w:r>
      <w:r>
        <w:rPr>
          <w:rFonts w:ascii="仿宋_GB2312" w:cs="Times New Roman" w:eastAsia="仿宋_GB2312" w:hAnsi="宋体"/>
          <w:color w:val="444444"/>
          <w:kern w:val="0"/>
          <w:sz w:val="28"/>
          <w:szCs w:val="28"/>
        </w:rPr>
        <w:t>书，提交《</w:t>
      </w:r>
      <w:r>
        <w:rPr>
          <w:rFonts w:ascii="仿宋_GB2312" w:cs="Times New Roman" w:eastAsia="仿宋_GB2312" w:hAnsi="宋体" w:hint="eastAsia"/>
          <w:color w:val="444444"/>
          <w:kern w:val="0"/>
          <w:sz w:val="28"/>
          <w:szCs w:val="28"/>
        </w:rPr>
        <w:t>参与</w:t>
      </w:r>
      <w:r>
        <w:rPr>
          <w:rFonts w:ascii="仿宋_GB2312" w:cs="Times New Roman" w:eastAsia="仿宋_GB2312" w:hAnsi="宋体"/>
          <w:color w:val="444444"/>
          <w:kern w:val="0"/>
          <w:sz w:val="28"/>
          <w:szCs w:val="28"/>
        </w:rPr>
        <w:t>科研课题证明》</w:t>
      </w:r>
      <w:r>
        <w:rPr>
          <w:rFonts w:ascii="仿宋_GB2312" w:cs="Times New Roman" w:eastAsia="仿宋_GB2312" w:hAnsi="宋体" w:hint="eastAsia"/>
          <w:color w:val="444444"/>
          <w:kern w:val="0"/>
          <w:sz w:val="28"/>
          <w:szCs w:val="28"/>
        </w:rPr>
        <w:t>（须</w:t>
      </w:r>
      <w:r>
        <w:rPr>
          <w:rFonts w:ascii="仿宋_GB2312" w:cs="Times New Roman" w:eastAsia="仿宋_GB2312" w:hAnsi="宋体"/>
          <w:color w:val="444444"/>
          <w:kern w:val="0"/>
          <w:sz w:val="28"/>
          <w:szCs w:val="28"/>
        </w:rPr>
        <w:t>有导师、学科负责人签字</w:t>
      </w:r>
      <w:r>
        <w:rPr>
          <w:rFonts w:ascii="仿宋_GB2312" w:cs="Times New Roman" w:eastAsia="仿宋_GB2312" w:hAnsi="宋体" w:hint="eastAsia"/>
          <w:color w:val="444444"/>
          <w:kern w:val="0"/>
          <w:sz w:val="28"/>
          <w:szCs w:val="28"/>
        </w:rPr>
        <w:t>）</w:t>
      </w:r>
      <w:r>
        <w:rPr>
          <w:rFonts w:ascii="仿宋_GB2312" w:cs="Times New Roman" w:eastAsia="仿宋_GB2312" w:hAnsi="宋体" w:hint="eastAsia"/>
          <w:color w:val="444444"/>
          <w:kern w:val="0"/>
          <w:sz w:val="28"/>
          <w:szCs w:val="28"/>
        </w:rPr>
        <w:t>方可</w:t>
      </w:r>
      <w:r>
        <w:rPr>
          <w:rFonts w:ascii="仿宋_GB2312" w:cs="Times New Roman" w:eastAsia="仿宋_GB2312" w:hAnsi="宋体"/>
          <w:color w:val="444444"/>
          <w:kern w:val="0"/>
          <w:sz w:val="28"/>
          <w:szCs w:val="28"/>
        </w:rPr>
        <w:t>认定</w:t>
      </w:r>
      <w:r>
        <w:rPr>
          <w:rFonts w:ascii="仿宋_GB2312" w:cs="Times New Roman" w:eastAsia="仿宋_GB2312" w:hAnsi="宋体" w:hint="eastAsia"/>
          <w:color w:val="444444"/>
          <w:kern w:val="0"/>
          <w:sz w:val="28"/>
          <w:szCs w:val="28"/>
        </w:rPr>
        <w:t>。</w:t>
      </w:r>
    </w:p>
    <w:p>
      <w:pPr>
        <w:pStyle w:val="style179"/>
        <w:widowControl/>
        <w:numPr>
          <w:ilvl w:val="0"/>
          <w:numId w:val="7"/>
        </w:numPr>
        <w:adjustRightInd w:val="false"/>
        <w:spacing w:lineRule="exact" w:line="520"/>
        <w:ind w:left="-420" w:firstLine="562"/>
        <w:rPr>
          <w:rFonts w:ascii="仿宋_GB2312" w:cs="Times New Roman" w:eastAsia="仿宋_GB2312" w:hAnsi="宋体"/>
          <w:b/>
          <w:color w:val="444444"/>
          <w:kern w:val="0"/>
          <w:sz w:val="28"/>
          <w:szCs w:val="28"/>
        </w:rPr>
      </w:pPr>
      <w:r>
        <w:rPr>
          <w:rFonts w:ascii="仿宋_GB2312" w:cs="Times New Roman" w:eastAsia="仿宋_GB2312" w:hAnsi="宋体" w:hint="eastAsia"/>
          <w:b/>
          <w:color w:val="444444"/>
          <w:kern w:val="0"/>
          <w:sz w:val="28"/>
          <w:szCs w:val="28"/>
        </w:rPr>
        <w:t>学术活动</w:t>
      </w:r>
      <w:r>
        <w:rPr>
          <w:rFonts w:ascii="仿宋_GB2312" w:cs="Times New Roman" w:eastAsia="仿宋_GB2312" w:hAnsi="宋体" w:hint="eastAsia"/>
          <w:b/>
          <w:color w:val="444444"/>
          <w:kern w:val="0"/>
          <w:sz w:val="28"/>
          <w:szCs w:val="28"/>
        </w:rPr>
        <w:t>、竞赛</w:t>
      </w:r>
      <w:r>
        <w:rPr>
          <w:rFonts w:ascii="仿宋_GB2312" w:cs="Times New Roman" w:eastAsia="仿宋_GB2312" w:hAnsi="宋体" w:hint="eastAsia"/>
          <w:b/>
          <w:color w:val="444444"/>
          <w:kern w:val="0"/>
          <w:sz w:val="28"/>
          <w:szCs w:val="28"/>
        </w:rPr>
        <w:t>计分表</w:t>
      </w:r>
    </w:p>
    <w:tbl>
      <w:tblPr>
        <w:tblpPr w:leftFromText="180" w:rightFromText="180" w:topFromText="0" w:bottomFromText="0" w:vertAnchor="text" w:horzAnchor="margin" w:tblpXSpec="left" w:tblpY="132"/>
        <w:tblOverlap w:val="never"/>
        <w:tblW w:w="5000" w:type="pct"/>
        <w:tblCellMar>
          <w:left w:w="0" w:type="dxa"/>
          <w:right w:w="0" w:type="dxa"/>
        </w:tblCellMar>
        <w:tblLook w:val="04A0" w:firstRow="1" w:lastRow="0" w:firstColumn="1" w:lastColumn="0" w:noHBand="0" w:noVBand="1"/>
      </w:tblPr>
      <w:tblGrid>
        <w:gridCol w:w="2071"/>
        <w:gridCol w:w="2071"/>
        <w:gridCol w:w="2072"/>
        <w:gridCol w:w="2072"/>
      </w:tblGrid>
      <w:tr>
        <w:trPr>
          <w:trHeight w:val="468" w:hRule="atLeast"/>
        </w:trPr>
        <w:tc>
          <w:tcPr>
            <w:tcW w:w="1250"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类别</w:t>
            </w:r>
          </w:p>
        </w:tc>
        <w:tc>
          <w:tcPr>
            <w:tcW w:w="12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金奖/一等奖</w:t>
            </w:r>
          </w:p>
        </w:tc>
        <w:tc>
          <w:tcPr>
            <w:tcW w:w="12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银奖/二等奖</w:t>
            </w:r>
          </w:p>
        </w:tc>
        <w:tc>
          <w:tcPr>
            <w:tcW w:w="12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铜奖/三等奖</w:t>
            </w:r>
          </w:p>
        </w:tc>
      </w:tr>
      <w:tr>
        <w:tblPrEx/>
        <w:trPr>
          <w:trHeight w:val="468" w:hRule="atLeast"/>
        </w:trPr>
        <w:tc>
          <w:tcPr>
            <w:tcW w:w="12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国家级</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w:t>
            </w:r>
            <w:r>
              <w:rPr>
                <w:rFonts w:ascii="仿宋_GB2312" w:cs="Times New Roman" w:eastAsia="仿宋_GB2312" w:hAnsi="宋体"/>
                <w:color w:val="444444"/>
                <w:kern w:val="0"/>
                <w:sz w:val="28"/>
                <w:szCs w:val="28"/>
              </w:rPr>
              <w:t>0</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16</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w:t>
            </w:r>
            <w:r>
              <w:rPr>
                <w:rFonts w:ascii="仿宋_GB2312" w:cs="Times New Roman" w:eastAsia="仿宋_GB2312" w:hAnsi="宋体"/>
                <w:color w:val="444444"/>
                <w:kern w:val="0"/>
                <w:sz w:val="28"/>
                <w:szCs w:val="28"/>
              </w:rPr>
              <w:t>2</w:t>
            </w:r>
          </w:p>
        </w:tc>
      </w:tr>
      <w:tr>
        <w:tblPrEx/>
        <w:trPr>
          <w:trHeight w:val="468" w:hRule="atLeast"/>
        </w:trPr>
        <w:tc>
          <w:tcPr>
            <w:tcW w:w="12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省部级</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w:t>
            </w:r>
            <w:r>
              <w:rPr>
                <w:rFonts w:ascii="仿宋_GB2312" w:cs="Times New Roman" w:eastAsia="仿宋_GB2312" w:hAnsi="宋体"/>
                <w:color w:val="444444"/>
                <w:kern w:val="0"/>
                <w:sz w:val="28"/>
                <w:szCs w:val="28"/>
              </w:rPr>
              <w:t>2</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9</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6</w:t>
            </w:r>
          </w:p>
        </w:tc>
      </w:tr>
      <w:tr>
        <w:tblPrEx/>
        <w:trPr>
          <w:trHeight w:val="468" w:hRule="atLeast"/>
        </w:trPr>
        <w:tc>
          <w:tcPr>
            <w:tcW w:w="12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校级</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lang w:val="en-US"/>
              </w:rPr>
              <w:t>6</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lang w:val="en-US"/>
              </w:rPr>
              <w:t>4</w:t>
            </w:r>
          </w:p>
        </w:tc>
        <w:tc>
          <w:tcPr>
            <w:tcW w:w="12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w:t>
            </w:r>
          </w:p>
        </w:tc>
      </w:tr>
      <w:tr>
        <w:tblPrEx/>
        <w:trPr>
          <w:trHeight w:val="468" w:hRule="atLeast"/>
        </w:trPr>
        <w:tc>
          <w:tcPr>
            <w:tcW w:w="1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学院级</w:t>
            </w:r>
          </w:p>
        </w:tc>
        <w:tc>
          <w:tcPr>
            <w:tcW w:w="3750"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w:t>
            </w:r>
          </w:p>
        </w:tc>
      </w:tr>
    </w:tbl>
    <w:p>
      <w:pPr>
        <w:pStyle w:val="style179"/>
        <w:widowControl/>
        <w:numPr>
          <w:ilvl w:val="0"/>
          <w:numId w:val="16"/>
        </w:numPr>
        <w:spacing w:lineRule="exact" w:line="520"/>
        <w:ind w:left="0" w:firstLine="562"/>
        <w:rPr>
          <w:rFonts w:ascii="仿宋_GB2312" w:cs="Times New Roman" w:eastAsia="仿宋_GB2312" w:hAnsi="宋体"/>
          <w:color w:val="444444"/>
          <w:kern w:val="0"/>
          <w:sz w:val="28"/>
          <w:szCs w:val="28"/>
        </w:rPr>
      </w:pPr>
      <w:r>
        <w:rPr>
          <w:rFonts w:ascii="仿宋_GB2312" w:cs="Times New Roman" w:eastAsia="仿宋_GB2312" w:hAnsi="宋体" w:hint="eastAsia"/>
          <w:b/>
          <w:color w:val="444444"/>
          <w:kern w:val="0"/>
          <w:sz w:val="28"/>
          <w:szCs w:val="28"/>
        </w:rPr>
        <w:t>学术活动</w:t>
      </w:r>
      <w:r>
        <w:rPr>
          <w:rFonts w:ascii="仿宋_GB2312" w:cs="Times New Roman" w:eastAsia="仿宋_GB2312" w:hAnsi="宋体" w:hint="eastAsia"/>
          <w:color w:val="444444"/>
          <w:kern w:val="0"/>
          <w:sz w:val="28"/>
          <w:szCs w:val="28"/>
        </w:rPr>
        <w:t>主要指参加马克思主义理论学科相关学术活动，如参加</w:t>
      </w:r>
      <w:r>
        <w:rPr>
          <w:rFonts w:ascii="仿宋_GB2312" w:cs="Times New Roman" w:eastAsia="仿宋_GB2312" w:hAnsi="宋体" w:hint="eastAsia"/>
          <w:color w:val="444444"/>
          <w:kern w:val="0"/>
          <w:sz w:val="28"/>
          <w:szCs w:val="28"/>
        </w:rPr>
        <w:t>学术会议、</w:t>
      </w:r>
      <w:r>
        <w:rPr>
          <w:rFonts w:ascii="仿宋_GB2312" w:cs="Times New Roman" w:eastAsia="仿宋_GB2312" w:hAnsi="宋体" w:hint="eastAsia"/>
          <w:color w:val="444444"/>
          <w:kern w:val="0"/>
          <w:sz w:val="28"/>
          <w:szCs w:val="28"/>
        </w:rPr>
        <w:t>理论宣讲等</w:t>
      </w:r>
      <w:r>
        <w:rPr>
          <w:rFonts w:ascii="仿宋_GB2312" w:cs="Times New Roman" w:eastAsia="仿宋_GB2312" w:hAnsi="宋体" w:hint="eastAsia"/>
          <w:color w:val="444444"/>
          <w:kern w:val="0"/>
          <w:sz w:val="28"/>
          <w:szCs w:val="28"/>
        </w:rPr>
        <w:t>。</w:t>
      </w:r>
      <w:r>
        <w:rPr>
          <w:rFonts w:ascii="仿宋_GB2312" w:cs="Times New Roman" w:eastAsia="仿宋_GB2312" w:hAnsi="宋体" w:hint="eastAsia"/>
          <w:color w:val="444444"/>
          <w:kern w:val="0"/>
          <w:sz w:val="28"/>
          <w:szCs w:val="28"/>
        </w:rPr>
        <w:t>参加一次</w:t>
      </w:r>
      <w:r>
        <w:rPr>
          <w:rFonts w:ascii="仿宋_GB2312" w:cs="Times New Roman" w:eastAsia="仿宋_GB2312" w:hAnsi="宋体" w:hint="eastAsia"/>
          <w:color w:val="444444"/>
          <w:kern w:val="0"/>
          <w:sz w:val="28"/>
          <w:szCs w:val="28"/>
        </w:rPr>
        <w:t>学术会议</w:t>
      </w:r>
      <w:r>
        <w:rPr>
          <w:rFonts w:ascii="仿宋_GB2312" w:cs="Times New Roman" w:eastAsia="仿宋_GB2312" w:hAnsi="宋体" w:hint="eastAsia"/>
          <w:color w:val="444444"/>
          <w:kern w:val="0"/>
          <w:sz w:val="28"/>
          <w:szCs w:val="28"/>
        </w:rPr>
        <w:t>计</w:t>
      </w:r>
      <w:r>
        <w:rPr>
          <w:rFonts w:ascii="仿宋_GB2312" w:cs="Times New Roman" w:eastAsia="仿宋_GB2312" w:hAnsi="宋体"/>
          <w:color w:val="444444"/>
          <w:kern w:val="0"/>
          <w:sz w:val="28"/>
          <w:szCs w:val="28"/>
        </w:rPr>
        <w:t>1分，做大会报告计2分</w:t>
      </w:r>
      <w:r>
        <w:rPr>
          <w:rFonts w:ascii="仿宋_GB2312" w:cs="Times New Roman" w:eastAsia="仿宋_GB2312" w:hAnsi="宋体" w:hint="eastAsia"/>
          <w:color w:val="444444"/>
          <w:kern w:val="0"/>
          <w:sz w:val="28"/>
          <w:szCs w:val="28"/>
        </w:rPr>
        <w:t>, 获奖额外按照</w:t>
      </w:r>
      <w:r>
        <w:rPr>
          <w:rFonts w:ascii="仿宋_GB2312" w:cs="Times New Roman" w:eastAsia="仿宋_GB2312" w:hAnsi="宋体" w:hint="eastAsia"/>
          <w:color w:val="444444"/>
          <w:kern w:val="0"/>
          <w:sz w:val="28"/>
          <w:szCs w:val="28"/>
        </w:rPr>
        <w:t>表格</w:t>
      </w:r>
      <w:r>
        <w:rPr>
          <w:rFonts w:ascii="仿宋_GB2312" w:cs="Times New Roman" w:eastAsia="仿宋_GB2312" w:hAnsi="宋体" w:hint="eastAsia"/>
          <w:color w:val="444444"/>
          <w:kern w:val="0"/>
          <w:sz w:val="28"/>
          <w:szCs w:val="28"/>
        </w:rPr>
        <w:t>分值进行加分, 参加、报告、获奖</w:t>
      </w:r>
      <w:r>
        <w:rPr>
          <w:rFonts w:ascii="仿宋_GB2312" w:cs="Times New Roman" w:eastAsia="仿宋_GB2312" w:hAnsi="宋体" w:hint="eastAsia"/>
          <w:color w:val="444444"/>
          <w:kern w:val="0"/>
          <w:sz w:val="28"/>
          <w:szCs w:val="28"/>
        </w:rPr>
        <w:t>不</w:t>
      </w:r>
      <w:r>
        <w:rPr>
          <w:rFonts w:ascii="仿宋_GB2312" w:cs="Times New Roman" w:eastAsia="仿宋_GB2312" w:hAnsi="宋体" w:hint="eastAsia"/>
          <w:color w:val="444444"/>
          <w:kern w:val="0"/>
          <w:sz w:val="28"/>
          <w:szCs w:val="28"/>
        </w:rPr>
        <w:t>累计加分</w:t>
      </w:r>
      <w:r>
        <w:rPr>
          <w:rFonts w:ascii="仿宋_GB2312" w:cs="Times New Roman" w:eastAsia="仿宋_GB2312" w:hAnsi="宋体" w:hint="eastAsia"/>
          <w:color w:val="444444"/>
          <w:kern w:val="0"/>
          <w:sz w:val="28"/>
          <w:szCs w:val="28"/>
        </w:rPr>
        <w:t>；</w:t>
      </w:r>
      <w:r>
        <w:rPr>
          <w:rFonts w:ascii="仿宋_GB2312" w:cs="Times New Roman" w:eastAsia="仿宋_GB2312" w:hAnsi="宋体" w:hint="eastAsia"/>
          <w:color w:val="444444"/>
          <w:kern w:val="0"/>
          <w:sz w:val="28"/>
          <w:szCs w:val="28"/>
        </w:rPr>
        <w:t>参加理论宣讲每次记2分</w:t>
      </w:r>
      <w:r>
        <w:rPr>
          <w:rFonts w:ascii="仿宋_GB2312" w:cs="Times New Roman" w:eastAsia="仿宋_GB2312" w:hAnsi="宋体" w:hint="eastAsia"/>
          <w:color w:val="444444"/>
          <w:kern w:val="0"/>
          <w:sz w:val="28"/>
          <w:szCs w:val="28"/>
        </w:rPr>
        <w:t>；</w:t>
      </w:r>
    </w:p>
    <w:p>
      <w:pPr>
        <w:pStyle w:val="style179"/>
        <w:widowControl/>
        <w:numPr>
          <w:ilvl w:val="0"/>
          <w:numId w:val="16"/>
        </w:numPr>
        <w:spacing w:lineRule="exact" w:line="520"/>
        <w:ind w:left="0" w:firstLine="562"/>
        <w:rPr>
          <w:rFonts w:ascii="仿宋_GB2312" w:cs="Times New Roman" w:eastAsia="仿宋_GB2312" w:hAnsi="宋体"/>
          <w:color w:val="444444"/>
          <w:kern w:val="0"/>
          <w:sz w:val="28"/>
          <w:szCs w:val="28"/>
        </w:rPr>
      </w:pPr>
      <w:r>
        <w:rPr>
          <w:rFonts w:ascii="仿宋_GB2312" w:cs="Times New Roman" w:eastAsia="仿宋_GB2312" w:hAnsi="宋体" w:hint="eastAsia"/>
          <w:b/>
          <w:color w:val="444444"/>
          <w:kern w:val="0"/>
          <w:sz w:val="28"/>
          <w:szCs w:val="28"/>
        </w:rPr>
        <w:t>学术竞赛</w:t>
      </w:r>
      <w:r>
        <w:rPr>
          <w:rFonts w:ascii="仿宋_GB2312" w:cs="Times New Roman" w:eastAsia="仿宋_GB2312" w:hAnsi="宋体" w:hint="eastAsia"/>
          <w:color w:val="444444"/>
          <w:kern w:val="0"/>
          <w:sz w:val="28"/>
          <w:szCs w:val="28"/>
        </w:rPr>
        <w:t>主要指</w:t>
      </w:r>
      <w:r>
        <w:rPr>
          <w:rFonts w:ascii="仿宋_GB2312" w:cs="Times New Roman" w:eastAsia="仿宋_GB2312" w:hAnsi="宋体" w:hint="eastAsia"/>
          <w:color w:val="444444"/>
          <w:kern w:val="0"/>
          <w:sz w:val="28"/>
          <w:szCs w:val="28"/>
        </w:rPr>
        <w:t>参加世纪杯、挑战杯、研究生学术论坛、马克思主义经典著作学术论文征文比赛、大学生</w:t>
      </w:r>
      <w:r>
        <w:rPr>
          <w:rFonts w:ascii="仿宋_GB2312" w:cs="Times New Roman" w:eastAsia="仿宋_GB2312" w:hAnsi="宋体" w:hint="eastAsia"/>
          <w:color w:val="444444"/>
          <w:kern w:val="0"/>
          <w:sz w:val="28"/>
          <w:szCs w:val="28"/>
        </w:rPr>
        <w:t>讲思政</w:t>
      </w:r>
      <w:r>
        <w:rPr>
          <w:rFonts w:ascii="仿宋_GB2312" w:cs="Times New Roman" w:eastAsia="仿宋_GB2312" w:hAnsi="宋体" w:hint="eastAsia"/>
          <w:color w:val="444444"/>
          <w:kern w:val="0"/>
          <w:sz w:val="28"/>
          <w:szCs w:val="28"/>
        </w:rPr>
        <w:t>公开课等，参加计1分，获奖额外按照</w:t>
      </w:r>
      <w:r>
        <w:rPr>
          <w:rFonts w:ascii="仿宋_GB2312" w:cs="Times New Roman" w:eastAsia="仿宋_GB2312" w:hAnsi="宋体" w:hint="eastAsia"/>
          <w:color w:val="444444"/>
          <w:kern w:val="0"/>
          <w:sz w:val="28"/>
          <w:szCs w:val="28"/>
        </w:rPr>
        <w:t>表格</w:t>
      </w:r>
      <w:r>
        <w:rPr>
          <w:rFonts w:ascii="仿宋_GB2312" w:cs="Times New Roman" w:eastAsia="仿宋_GB2312" w:hAnsi="宋体" w:hint="eastAsia"/>
          <w:color w:val="444444"/>
          <w:kern w:val="0"/>
          <w:sz w:val="28"/>
          <w:szCs w:val="28"/>
        </w:rPr>
        <w:t>分值进行加分</w:t>
      </w:r>
      <w:r>
        <w:rPr>
          <w:rFonts w:ascii="仿宋_GB2312" w:cs="Times New Roman" w:eastAsia="仿宋_GB2312" w:hAnsi="宋体" w:hint="eastAsia"/>
          <w:color w:val="444444"/>
          <w:kern w:val="0"/>
          <w:sz w:val="28"/>
          <w:szCs w:val="28"/>
        </w:rPr>
        <w:t>。</w:t>
      </w:r>
    </w:p>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注：</w:t>
      </w:r>
    </w:p>
    <w:p>
      <w:pPr>
        <w:pStyle w:val="style179"/>
        <w:widowControl/>
        <w:numPr>
          <w:ilvl w:val="0"/>
          <w:numId w:val="11"/>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如果奖项设置等级超过3种，则最高等级奖励视为一等奖</w:t>
      </w:r>
      <w:r>
        <w:rPr>
          <w:rFonts w:ascii="仿宋_GB2312" w:cs="Times New Roman" w:eastAsia="仿宋_GB2312" w:hAnsi="宋体" w:hint="eastAsia"/>
          <w:color w:val="444444"/>
          <w:kern w:val="0"/>
          <w:sz w:val="28"/>
          <w:szCs w:val="28"/>
        </w:rPr>
        <w:t>；</w:t>
      </w:r>
      <w:r>
        <w:rPr>
          <w:rFonts w:ascii="仿宋_GB2312" w:cs="Times New Roman" w:eastAsia="仿宋_GB2312" w:hAnsi="宋体" w:hint="eastAsia"/>
          <w:color w:val="444444"/>
          <w:kern w:val="0"/>
          <w:sz w:val="28"/>
          <w:szCs w:val="28"/>
        </w:rPr>
        <w:t>如果奖项设置等级低于3种，则最高等级奖励视为二等奖</w:t>
      </w:r>
      <w:r>
        <w:rPr>
          <w:rFonts w:ascii="仿宋_GB2312" w:cs="Times New Roman" w:eastAsia="仿宋_GB2312" w:hAnsi="宋体" w:hint="eastAsia"/>
          <w:color w:val="444444"/>
          <w:kern w:val="0"/>
          <w:sz w:val="28"/>
          <w:szCs w:val="28"/>
        </w:rPr>
        <w:t>；</w:t>
      </w:r>
    </w:p>
    <w:p>
      <w:pPr>
        <w:pStyle w:val="style179"/>
        <w:widowControl/>
        <w:numPr>
          <w:ilvl w:val="0"/>
          <w:numId w:val="11"/>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同一项目经层层推荐获得不同级别的多个奖项则按照最高奖项进行加分，</w:t>
      </w:r>
      <w:r>
        <w:rPr>
          <w:rFonts w:ascii="仿宋_GB2312" w:cs="Times New Roman" w:eastAsia="仿宋_GB2312" w:hAnsi="宋体" w:hint="eastAsia"/>
          <w:color w:val="444444"/>
          <w:kern w:val="0"/>
          <w:sz w:val="28"/>
          <w:szCs w:val="28"/>
        </w:rPr>
        <w:t>不</w:t>
      </w:r>
      <w:r>
        <w:rPr>
          <w:rFonts w:ascii="仿宋_GB2312" w:cs="Times New Roman" w:eastAsia="仿宋_GB2312" w:hAnsi="宋体" w:hint="eastAsia"/>
          <w:color w:val="444444"/>
          <w:kern w:val="0"/>
          <w:sz w:val="28"/>
          <w:szCs w:val="28"/>
        </w:rPr>
        <w:t>累计加分</w:t>
      </w:r>
      <w:r>
        <w:rPr>
          <w:rFonts w:ascii="仿宋_GB2312" w:cs="Times New Roman" w:eastAsia="仿宋_GB2312" w:hAnsi="宋体" w:hint="eastAsia"/>
          <w:color w:val="444444"/>
          <w:kern w:val="0"/>
          <w:sz w:val="28"/>
          <w:szCs w:val="28"/>
        </w:rPr>
        <w:t>；</w:t>
      </w:r>
      <w:r>
        <w:rPr>
          <w:rFonts w:ascii="仿宋_GB2312" w:cs="Times New Roman" w:eastAsia="仿宋_GB2312" w:hAnsi="宋体" w:hint="eastAsia"/>
          <w:color w:val="444444"/>
          <w:kern w:val="0"/>
          <w:sz w:val="28"/>
          <w:szCs w:val="28"/>
        </w:rPr>
        <w:t>无奖项分级则按</w:t>
      </w:r>
      <w:r>
        <w:rPr>
          <w:rFonts w:ascii="仿宋_GB2312" w:cs="Times New Roman" w:eastAsia="仿宋_GB2312" w:hAnsi="宋体" w:hint="eastAsia"/>
          <w:color w:val="444444"/>
          <w:kern w:val="0"/>
          <w:sz w:val="28"/>
          <w:szCs w:val="28"/>
        </w:rPr>
        <w:t>银奖/二等奖</w:t>
      </w:r>
      <w:r>
        <w:rPr>
          <w:rFonts w:ascii="仿宋_GB2312" w:cs="Times New Roman" w:eastAsia="仿宋_GB2312" w:hAnsi="宋体" w:hint="eastAsia"/>
          <w:color w:val="444444"/>
          <w:kern w:val="0"/>
          <w:sz w:val="28"/>
          <w:szCs w:val="28"/>
        </w:rPr>
        <w:t>计算。</w:t>
      </w:r>
    </w:p>
    <w:p>
      <w:pPr>
        <w:pStyle w:val="style179"/>
        <w:widowControl/>
        <w:numPr>
          <w:ilvl w:val="0"/>
          <w:numId w:val="11"/>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所有成果归属须为</w:t>
      </w:r>
      <w:r>
        <w:rPr>
          <w:rFonts w:ascii="仿宋_GB2312" w:cs="Times New Roman" w:eastAsia="仿宋_GB2312" w:hAnsi="宋体" w:hint="eastAsia"/>
          <w:color w:val="444444"/>
          <w:kern w:val="0"/>
          <w:sz w:val="28"/>
          <w:szCs w:val="28"/>
        </w:rPr>
        <w:t>北京理工大学</w:t>
      </w:r>
      <w:r>
        <w:rPr>
          <w:rFonts w:ascii="仿宋_GB2312" w:cs="Times New Roman" w:eastAsia="仿宋_GB2312" w:hAnsi="宋体" w:hint="eastAsia"/>
          <w:color w:val="444444"/>
          <w:kern w:val="0"/>
          <w:sz w:val="28"/>
          <w:szCs w:val="28"/>
        </w:rPr>
        <w:t>马克思主义学院</w:t>
      </w:r>
      <w:r>
        <w:rPr>
          <w:rFonts w:ascii="仿宋_GB2312" w:cs="Times New Roman" w:eastAsia="仿宋_GB2312" w:hAnsi="宋体" w:hint="eastAsia"/>
          <w:color w:val="444444"/>
          <w:kern w:val="0"/>
          <w:sz w:val="28"/>
          <w:szCs w:val="28"/>
        </w:rPr>
        <w:t>。</w:t>
      </w:r>
    </w:p>
    <w:p>
      <w:pPr>
        <w:pStyle w:val="style179"/>
        <w:widowControl/>
        <w:numPr>
          <w:ilvl w:val="0"/>
          <w:numId w:val="1"/>
        </w:numPr>
        <w:adjustRightInd w:val="false"/>
        <w:spacing w:lineRule="exact" w:line="520"/>
        <w:ind w:left="0" w:firstLine="200" w:firstLineChars="0"/>
        <w:jc w:val="left"/>
        <w:rPr>
          <w:rFonts w:ascii="宋体" w:cs="Times New Roman" w:eastAsia="宋体" w:hAnsi="宋体"/>
          <w:b/>
          <w:kern w:val="0"/>
          <w:sz w:val="28"/>
          <w:szCs w:val="28"/>
        </w:rPr>
      </w:pPr>
      <w:r>
        <w:rPr>
          <w:rFonts w:ascii="宋体" w:cs="Times New Roman" w:eastAsia="宋体" w:hAnsi="宋体" w:hint="eastAsia"/>
          <w:b/>
          <w:kern w:val="0"/>
          <w:sz w:val="28"/>
          <w:szCs w:val="28"/>
        </w:rPr>
        <w:t>综合素质段次（C）</w:t>
      </w:r>
    </w:p>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综合表现的测评包括社会实践、</w:t>
      </w:r>
      <w:r>
        <w:rPr>
          <w:rFonts w:ascii="仿宋_GB2312" w:cs="Times New Roman" w:eastAsia="仿宋_GB2312" w:hAnsi="宋体"/>
          <w:color w:val="444444"/>
          <w:kern w:val="0"/>
          <w:sz w:val="28"/>
          <w:szCs w:val="28"/>
        </w:rPr>
        <w:t>学生</w:t>
      </w:r>
      <w:r>
        <w:rPr>
          <w:rFonts w:ascii="仿宋_GB2312" w:cs="Times New Roman" w:eastAsia="仿宋_GB2312" w:hAnsi="宋体" w:hint="eastAsia"/>
          <w:color w:val="444444"/>
          <w:kern w:val="0"/>
          <w:sz w:val="28"/>
          <w:szCs w:val="28"/>
        </w:rPr>
        <w:t>工作、文体活动等，按照以下五项得分累加进行计算，所得段次即为C的数值。</w:t>
      </w:r>
    </w:p>
    <w:p>
      <w:pPr>
        <w:pStyle w:val="style179"/>
        <w:widowControl/>
        <w:numPr>
          <w:ilvl w:val="0"/>
          <w:numId w:val="8"/>
        </w:numPr>
        <w:adjustRightInd w:val="false"/>
        <w:spacing w:lineRule="exact" w:line="520"/>
        <w:ind w:left="-420" w:firstLine="562"/>
        <w:rPr>
          <w:rFonts w:ascii="仿宋_GB2312" w:cs="Times New Roman" w:eastAsia="仿宋_GB2312" w:hAnsi="宋体"/>
          <w:b/>
          <w:color w:val="444444"/>
          <w:kern w:val="0"/>
          <w:sz w:val="28"/>
          <w:szCs w:val="28"/>
        </w:rPr>
      </w:pPr>
      <w:r>
        <w:rPr>
          <w:rFonts w:ascii="仿宋_GB2312" w:cs="Times New Roman" w:eastAsia="仿宋_GB2312" w:hAnsi="宋体" w:hint="eastAsia"/>
          <w:b/>
          <w:color w:val="444444"/>
          <w:kern w:val="0"/>
          <w:sz w:val="28"/>
          <w:szCs w:val="28"/>
        </w:rPr>
        <w:t>社会实践</w:t>
      </w:r>
      <w:r>
        <w:rPr>
          <w:rFonts w:ascii="仿宋_GB2312" w:cs="Times New Roman" w:eastAsia="仿宋_GB2312" w:hAnsi="宋体" w:hint="eastAsia"/>
          <w:b/>
          <w:color w:val="444444"/>
          <w:kern w:val="0"/>
          <w:sz w:val="28"/>
          <w:szCs w:val="28"/>
        </w:rPr>
        <w:t>计分表</w:t>
      </w:r>
    </w:p>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参与社会实践一项记</w:t>
      </w:r>
      <w:r>
        <w:rPr>
          <w:rFonts w:ascii="仿宋_GB2312" w:cs="Times New Roman" w:eastAsia="仿宋_GB2312" w:hAnsi="宋体"/>
          <w:color w:val="444444"/>
          <w:kern w:val="0"/>
          <w:sz w:val="28"/>
          <w:szCs w:val="28"/>
        </w:rPr>
        <w:t>1</w:t>
      </w:r>
      <w:r>
        <w:rPr>
          <w:rFonts w:ascii="仿宋_GB2312" w:cs="Times New Roman" w:eastAsia="仿宋_GB2312" w:hAnsi="宋体" w:hint="eastAsia"/>
          <w:color w:val="444444"/>
          <w:kern w:val="0"/>
          <w:sz w:val="28"/>
          <w:szCs w:val="28"/>
        </w:rPr>
        <w:t>，社会实践获奖</w:t>
      </w:r>
      <w:r>
        <w:rPr>
          <w:rFonts w:ascii="仿宋_GB2312" w:cs="Times New Roman" w:eastAsia="仿宋_GB2312" w:hAnsi="宋体" w:hint="eastAsia"/>
          <w:color w:val="444444"/>
          <w:kern w:val="0"/>
          <w:sz w:val="28"/>
          <w:szCs w:val="28"/>
        </w:rPr>
        <w:t>（团队奖、调研报告、通讯稿等）</w:t>
      </w:r>
      <w:r>
        <w:rPr>
          <w:rFonts w:ascii="仿宋_GB2312" w:cs="Times New Roman" w:eastAsia="仿宋_GB2312" w:hAnsi="宋体" w:hint="eastAsia"/>
          <w:color w:val="444444"/>
          <w:kern w:val="0"/>
          <w:sz w:val="28"/>
          <w:szCs w:val="28"/>
        </w:rPr>
        <w:t>的，参照下表予以加分</w:t>
      </w:r>
      <w:r>
        <w:rPr>
          <w:rFonts w:ascii="仿宋_GB2312" w:cs="Times New Roman" w:eastAsia="仿宋_GB2312" w:hAnsi="宋体" w:hint="eastAsia"/>
          <w:color w:val="444444"/>
          <w:kern w:val="0"/>
          <w:sz w:val="28"/>
          <w:szCs w:val="28"/>
        </w:rPr>
        <w:t>，若为团队负责人则多记</w:t>
      </w:r>
      <w:r>
        <w:rPr>
          <w:rFonts w:ascii="仿宋_GB2312" w:cs="Times New Roman" w:eastAsia="仿宋_GB2312" w:hAnsi="宋体"/>
          <w:color w:val="444444"/>
          <w:kern w:val="0"/>
          <w:sz w:val="28"/>
          <w:szCs w:val="28"/>
        </w:rPr>
        <w:t>2</w:t>
      </w:r>
      <w:r>
        <w:rPr>
          <w:rFonts w:ascii="仿宋_GB2312" w:cs="Times New Roman" w:eastAsia="仿宋_GB2312" w:hAnsi="宋体" w:hint="eastAsia"/>
          <w:color w:val="444444"/>
          <w:kern w:val="0"/>
          <w:sz w:val="28"/>
          <w:szCs w:val="28"/>
        </w:rPr>
        <w:t>分</w:t>
      </w:r>
      <w:r>
        <w:rPr>
          <w:rFonts w:ascii="仿宋_GB2312" w:cs="Times New Roman" w:eastAsia="仿宋_GB2312" w:hAnsi="宋体" w:hint="eastAsia"/>
          <w:color w:val="444444"/>
          <w:kern w:val="0"/>
          <w:sz w:val="28"/>
          <w:szCs w:val="28"/>
        </w:rPr>
        <w:t>（每项）</w:t>
      </w:r>
      <w:r>
        <w:rPr>
          <w:rFonts w:ascii="仿宋_GB2312" w:cs="Times New Roman" w:eastAsia="仿宋_GB2312" w:hAnsi="宋体" w:hint="eastAsia"/>
          <w:color w:val="444444"/>
          <w:kern w:val="0"/>
          <w:sz w:val="28"/>
          <w:szCs w:val="28"/>
        </w:rPr>
        <w:t>。同一项目</w:t>
      </w:r>
      <w:r>
        <w:rPr>
          <w:rFonts w:ascii="仿宋_GB2312" w:cs="Times New Roman" w:eastAsia="仿宋_GB2312" w:hAnsi="宋体" w:hint="eastAsia"/>
          <w:color w:val="444444"/>
          <w:kern w:val="0"/>
          <w:sz w:val="28"/>
          <w:szCs w:val="28"/>
        </w:rPr>
        <w:t>获不同</w:t>
      </w:r>
      <w:r>
        <w:rPr>
          <w:rFonts w:ascii="仿宋_GB2312" w:cs="Times New Roman" w:eastAsia="仿宋_GB2312" w:hAnsi="宋体" w:hint="eastAsia"/>
          <w:color w:val="444444"/>
          <w:kern w:val="0"/>
          <w:sz w:val="28"/>
          <w:szCs w:val="28"/>
        </w:rPr>
        <w:t>级别奖励按照就高原则予以加分，不予累加；同一学年参与多个社会实践项目取前两项所获奖</w:t>
      </w:r>
      <w:r>
        <w:rPr>
          <w:rFonts w:ascii="仿宋_GB2312" w:cs="Times New Roman" w:eastAsia="仿宋_GB2312" w:hAnsi="宋体" w:hint="eastAsia"/>
          <w:color w:val="444444"/>
          <w:kern w:val="0"/>
          <w:sz w:val="28"/>
          <w:szCs w:val="28"/>
        </w:rPr>
        <w:t>项最高</w:t>
      </w:r>
      <w:r>
        <w:rPr>
          <w:rFonts w:ascii="仿宋_GB2312" w:cs="Times New Roman" w:eastAsia="仿宋_GB2312" w:hAnsi="宋体" w:hint="eastAsia"/>
          <w:color w:val="444444"/>
          <w:kern w:val="0"/>
          <w:sz w:val="28"/>
          <w:szCs w:val="28"/>
        </w:rPr>
        <w:t>者加分。</w:t>
      </w:r>
    </w:p>
    <w:tbl>
      <w:tblPr>
        <w:tblW w:w="9062" w:type="dxa"/>
        <w:jc w:val="center"/>
        <w:tblCellMar>
          <w:left w:w="0" w:type="dxa"/>
          <w:right w:w="0" w:type="dxa"/>
        </w:tblCellMar>
        <w:tblLook w:val="04A0" w:firstRow="1" w:lastRow="0" w:firstColumn="1" w:lastColumn="0" w:noHBand="0" w:noVBand="1"/>
      </w:tblPr>
      <w:tblGrid>
        <w:gridCol w:w="1975"/>
        <w:gridCol w:w="1218"/>
        <w:gridCol w:w="1417"/>
        <w:gridCol w:w="1560"/>
        <w:gridCol w:w="2892"/>
      </w:tblGrid>
      <w:tr>
        <w:trPr>
          <w:trHeight w:val="315" w:hRule="atLeast"/>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类别</w:t>
            </w:r>
          </w:p>
        </w:tc>
        <w:tc>
          <w:tcPr>
            <w:tcW w:w="12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一等奖</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二等奖</w:t>
            </w:r>
          </w:p>
        </w:tc>
        <w:tc>
          <w:tcPr>
            <w:tcW w:w="1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三等奖</w:t>
            </w:r>
          </w:p>
        </w:tc>
        <w:tc>
          <w:tcPr>
            <w:tcW w:w="2892" w:type="dxa"/>
            <w:tcBorders>
              <w:top w:val="single" w:sz="8" w:space="0" w:color="000000"/>
              <w:left w:val="nil"/>
              <w:bottom w:val="single" w:sz="8" w:space="0" w:color="000000"/>
              <w:right w:val="single" w:sz="8" w:space="0" w:color="000000"/>
            </w:tcBorders>
            <w:shd w:val="clear" w:color="auto" w:fill="auto"/>
            <w:tcMa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其他</w:t>
            </w:r>
          </w:p>
        </w:tc>
      </w:tr>
      <w:tr>
        <w:tblPrEx/>
        <w:trPr>
          <w:trHeight w:val="315" w:hRule="atLeast"/>
          <w:jc w:val="center"/>
        </w:trPr>
        <w:tc>
          <w:tcPr>
            <w:tcW w:w="19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省部级及以上</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4分</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3.5分</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3分</w:t>
            </w:r>
          </w:p>
        </w:tc>
        <w:tc>
          <w:tcPr>
            <w:tcW w:w="2892" w:type="dxa"/>
            <w:tcBorders>
              <w:top w:val="nil"/>
              <w:left w:val="nil"/>
              <w:bottom w:val="single" w:sz="8" w:space="0" w:color="auto"/>
              <w:right w:val="single" w:sz="8" w:space="0" w:color="auto"/>
            </w:tcBorders>
            <w:shd w:val="clear" w:color="auto" w:fill="auto"/>
            <w:tcMar/>
          </w:tcPr>
          <w:p>
            <w:pPr>
              <w:pStyle w:val="style0"/>
              <w:widowControl/>
              <w:spacing w:beforeAutospacing="true" w:afterAutospacing="true" w:lineRule="auto" w:line="360"/>
              <w:jc w:val="left"/>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 </w:t>
            </w:r>
          </w:p>
        </w:tc>
      </w:tr>
      <w:tr>
        <w:tblPrEx/>
        <w:trPr>
          <w:trHeight w:val="315" w:hRule="atLeast"/>
          <w:jc w:val="center"/>
        </w:trPr>
        <w:tc>
          <w:tcPr>
            <w:tcW w:w="1975"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校级</w:t>
            </w:r>
          </w:p>
        </w:tc>
        <w:tc>
          <w:tcPr>
            <w:tcW w:w="121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3分</w:t>
            </w:r>
          </w:p>
        </w:tc>
        <w:tc>
          <w:tcPr>
            <w:tcW w:w="14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2.5分</w:t>
            </w:r>
          </w:p>
        </w:tc>
        <w:tc>
          <w:tcPr>
            <w:tcW w:w="156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2分</w:t>
            </w:r>
          </w:p>
        </w:tc>
        <w:tc>
          <w:tcPr>
            <w:tcW w:w="2892" w:type="dxa"/>
            <w:tcBorders>
              <w:top w:val="nil"/>
              <w:left w:val="nil"/>
              <w:bottom w:val="single" w:sz="4" w:space="0" w:color="auto"/>
              <w:right w:val="single" w:sz="8" w:space="0" w:color="auto"/>
            </w:tcBorders>
            <w:shd w:val="clear" w:color="auto" w:fill="auto"/>
            <w:tcMar/>
          </w:tcPr>
          <w:p>
            <w:pPr>
              <w:pStyle w:val="style0"/>
              <w:widowControl/>
              <w:spacing w:beforeAutospacing="true" w:afterAutospacing="true" w:lineRule="auto" w:line="360"/>
              <w:jc w:val="left"/>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 </w:t>
            </w:r>
          </w:p>
        </w:tc>
      </w:tr>
      <w:tr>
        <w:tblPrEx/>
        <w:trPr>
          <w:trHeight w:val="345" w:hRule="atLeast"/>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学院级</w:t>
            </w:r>
          </w:p>
        </w:tc>
        <w:tc>
          <w:tcPr>
            <w:tcW w:w="12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2分</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1.5分</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1分</w:t>
            </w:r>
          </w:p>
        </w:tc>
        <w:tc>
          <w:tcPr>
            <w:tcW w:w="2892" w:type="dxa"/>
            <w:tcBorders>
              <w:top w:val="single" w:sz="4" w:space="0" w:color="auto"/>
              <w:left w:val="single" w:sz="4" w:space="0" w:color="auto"/>
              <w:bottom w:val="single" w:sz="4" w:space="0" w:color="auto"/>
              <w:right w:val="single" w:sz="4" w:space="0" w:color="auto"/>
            </w:tcBorders>
            <w:shd w:val="clear" w:color="auto" w:fill="auto"/>
            <w:tcMa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优秀奖、鼓励奖0.5分</w:t>
            </w:r>
          </w:p>
        </w:tc>
      </w:tr>
    </w:tbl>
    <w:p>
      <w:pPr>
        <w:pStyle w:val="style179"/>
        <w:widowControl/>
        <w:numPr>
          <w:ilvl w:val="0"/>
          <w:numId w:val="8"/>
        </w:numPr>
        <w:adjustRightInd w:val="false"/>
        <w:spacing w:lineRule="exact" w:line="520"/>
        <w:ind w:left="-420" w:firstLine="562"/>
        <w:rPr>
          <w:rFonts w:ascii="仿宋_GB2312" w:cs="Times New Roman" w:eastAsia="仿宋_GB2312" w:hAnsi="宋体"/>
          <w:b/>
          <w:color w:val="444444"/>
          <w:kern w:val="0"/>
          <w:sz w:val="28"/>
          <w:szCs w:val="28"/>
        </w:rPr>
      </w:pPr>
      <w:r>
        <w:rPr>
          <w:rFonts w:ascii="仿宋_GB2312" w:cs="Times New Roman" w:eastAsia="仿宋_GB2312" w:hAnsi="宋体" w:hint="eastAsia"/>
          <w:b/>
          <w:color w:val="444444"/>
          <w:kern w:val="0"/>
          <w:sz w:val="28"/>
          <w:szCs w:val="28"/>
        </w:rPr>
        <w:t>学生工作</w:t>
      </w:r>
      <w:r>
        <w:rPr>
          <w:rFonts w:ascii="仿宋_GB2312" w:cs="Times New Roman" w:eastAsia="仿宋_GB2312" w:hAnsi="宋体" w:hint="eastAsia"/>
          <w:b/>
          <w:color w:val="444444"/>
          <w:kern w:val="0"/>
          <w:sz w:val="28"/>
          <w:szCs w:val="28"/>
        </w:rPr>
        <w:t>计分表</w:t>
      </w:r>
    </w:p>
    <w:tbl>
      <w:tblPr>
        <w:tblW w:w="9498" w:type="dxa"/>
        <w:jc w:val="center"/>
        <w:tblLayout w:type="fixed"/>
        <w:tblLook w:val="04A0" w:firstRow="1" w:lastRow="0" w:firstColumn="1" w:lastColumn="0" w:noHBand="0" w:noVBand="1"/>
      </w:tblPr>
      <w:tblGrid>
        <w:gridCol w:w="1838"/>
        <w:gridCol w:w="851"/>
        <w:gridCol w:w="1830"/>
        <w:gridCol w:w="790"/>
        <w:gridCol w:w="1632"/>
        <w:gridCol w:w="851"/>
        <w:gridCol w:w="1706"/>
      </w:tblGrid>
      <w:tr>
        <w:trPr>
          <w:cantSplit/>
          <w:trHeight w:val="270" w:hRule="atLeast"/>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校级学生组织</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院级学生组织</w:t>
            </w: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班级/党、团支部</w:t>
            </w:r>
          </w:p>
        </w:tc>
        <w:tc>
          <w:tcPr>
            <w:tcW w:w="1706" w:type="dxa"/>
            <w:tcBorders>
              <w:top w:val="single" w:sz="4" w:space="0" w:color="auto"/>
              <w:left w:val="nil"/>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思政课</w:t>
            </w:r>
            <w:r>
              <w:rPr>
                <w:rFonts w:ascii="仿宋_GB2312" w:cs="Times New Roman" w:eastAsia="仿宋_GB2312" w:hAnsi="宋体"/>
                <w:color w:val="444444"/>
                <w:kern w:val="0"/>
                <w:sz w:val="28"/>
                <w:szCs w:val="28"/>
              </w:rPr>
              <w:t>助教</w:t>
            </w:r>
          </w:p>
        </w:tc>
      </w:tr>
      <w:tr>
        <w:tblPrEx/>
        <w:trPr>
          <w:cantSplit/>
          <w:trHeight w:val="270" w:hRule="atLeast"/>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主席/负责人</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部长</w:t>
            </w:r>
          </w:p>
        </w:tc>
        <w:tc>
          <w:tcPr>
            <w:tcW w:w="1830" w:type="dxa"/>
            <w:tcBorders>
              <w:top w:val="nil"/>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主席/负责人</w:t>
            </w:r>
          </w:p>
        </w:tc>
        <w:tc>
          <w:tcPr>
            <w:tcW w:w="790" w:type="dxa"/>
            <w:tcBorders>
              <w:top w:val="nil"/>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部长</w:t>
            </w:r>
          </w:p>
        </w:tc>
        <w:tc>
          <w:tcPr>
            <w:tcW w:w="1632" w:type="dxa"/>
            <w:tcBorders>
              <w:top w:val="nil"/>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班长/党、团支部书记</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委员</w:t>
            </w:r>
          </w:p>
        </w:tc>
        <w:tc>
          <w:tcPr>
            <w:tcW w:w="1706" w:type="dxa"/>
            <w:tcBorders>
              <w:top w:val="nil"/>
              <w:left w:val="nil"/>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一学期</w:t>
            </w:r>
          </w:p>
        </w:tc>
      </w:tr>
      <w:tr>
        <w:tblPrEx/>
        <w:trPr>
          <w:cantSplit/>
          <w:trHeight w:val="270" w:hRule="atLeast"/>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5</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3</w:t>
            </w:r>
          </w:p>
        </w:tc>
        <w:tc>
          <w:tcPr>
            <w:tcW w:w="1830" w:type="dxa"/>
            <w:tcBorders>
              <w:top w:val="nil"/>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3</w:t>
            </w:r>
          </w:p>
        </w:tc>
        <w:tc>
          <w:tcPr>
            <w:tcW w:w="790" w:type="dxa"/>
            <w:tcBorders>
              <w:top w:val="nil"/>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w:t>
            </w:r>
          </w:p>
        </w:tc>
        <w:tc>
          <w:tcPr>
            <w:tcW w:w="1632" w:type="dxa"/>
            <w:tcBorders>
              <w:top w:val="nil"/>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3</w:t>
            </w:r>
          </w:p>
        </w:tc>
        <w:tc>
          <w:tcPr>
            <w:tcW w:w="851" w:type="dxa"/>
            <w:tcBorders>
              <w:top w:val="nil"/>
              <w:left w:val="nil"/>
              <w:bottom w:val="single" w:sz="4" w:space="0" w:color="auto"/>
              <w:right w:val="single" w:sz="4" w:space="0" w:color="auto"/>
            </w:tcBorders>
            <w:shd w:val="clear" w:color="auto" w:fill="auto"/>
            <w:noWrap/>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w:t>
            </w:r>
          </w:p>
        </w:tc>
        <w:tc>
          <w:tcPr>
            <w:tcW w:w="1706" w:type="dxa"/>
            <w:tcBorders>
              <w:top w:val="nil"/>
              <w:left w:val="nil"/>
              <w:bottom w:val="single" w:sz="4" w:space="0" w:color="auto"/>
              <w:right w:val="single" w:sz="4" w:space="0" w:color="auto"/>
            </w:tcBorders>
            <w:vAlign w:val="center"/>
          </w:tcPr>
          <w:p>
            <w:pPr>
              <w:pStyle w:val="style0"/>
              <w:widowControl/>
              <w:spacing w:lineRule="auto" w:line="36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w:t>
            </w:r>
          </w:p>
        </w:tc>
      </w:tr>
    </w:tbl>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注：</w:t>
      </w:r>
    </w:p>
    <w:p>
      <w:pPr>
        <w:pStyle w:val="style179"/>
        <w:widowControl/>
        <w:numPr>
          <w:ilvl w:val="0"/>
          <w:numId w:val="12"/>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如</w:t>
      </w:r>
      <w:r>
        <w:rPr>
          <w:rFonts w:ascii="仿宋_GB2312" w:cs="Times New Roman" w:eastAsia="仿宋_GB2312" w:hAnsi="宋体" w:hint="eastAsia"/>
          <w:color w:val="444444"/>
          <w:kern w:val="0"/>
          <w:sz w:val="28"/>
          <w:szCs w:val="28"/>
        </w:rPr>
        <w:t>学生</w:t>
      </w:r>
      <w:r>
        <w:rPr>
          <w:rFonts w:ascii="仿宋_GB2312" w:cs="Times New Roman" w:eastAsia="仿宋_GB2312" w:hAnsi="宋体" w:hint="eastAsia"/>
          <w:color w:val="444444"/>
          <w:kern w:val="0"/>
          <w:sz w:val="28"/>
          <w:szCs w:val="28"/>
        </w:rPr>
        <w:t>担任了上述四类学生干部中多项职务，可累计加分，最高计5分</w:t>
      </w:r>
      <w:r>
        <w:rPr>
          <w:rFonts w:ascii="仿宋_GB2312" w:cs="Times New Roman" w:eastAsia="仿宋_GB2312" w:hAnsi="宋体" w:hint="eastAsia"/>
          <w:color w:val="444444"/>
          <w:kern w:val="0"/>
          <w:sz w:val="28"/>
          <w:szCs w:val="28"/>
        </w:rPr>
        <w:t>；</w:t>
      </w:r>
    </w:p>
    <w:p>
      <w:pPr>
        <w:pStyle w:val="style179"/>
        <w:widowControl/>
        <w:numPr>
          <w:ilvl w:val="0"/>
          <w:numId w:val="12"/>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学院根据学生干部工作情况及学生组织民主测评情况可适当下浮职务分；中途退出者加分不超过该项50%。</w:t>
      </w:r>
    </w:p>
    <w:p>
      <w:pPr>
        <w:pStyle w:val="style179"/>
        <w:widowControl/>
        <w:numPr>
          <w:ilvl w:val="0"/>
          <w:numId w:val="8"/>
        </w:numPr>
        <w:adjustRightInd w:val="false"/>
        <w:spacing w:lineRule="exact" w:line="520"/>
        <w:ind w:left="-420" w:firstLine="562"/>
        <w:rPr>
          <w:rFonts w:ascii="仿宋_GB2312" w:cs="Times New Roman" w:eastAsia="仿宋_GB2312" w:hAnsi="宋体"/>
          <w:b/>
          <w:color w:val="444444"/>
          <w:kern w:val="0"/>
          <w:sz w:val="28"/>
          <w:szCs w:val="28"/>
        </w:rPr>
      </w:pPr>
      <w:r>
        <w:rPr>
          <w:rFonts w:ascii="仿宋_GB2312" w:cs="Times New Roman" w:eastAsia="仿宋_GB2312" w:hAnsi="宋体" w:hint="eastAsia"/>
          <w:b/>
          <w:color w:val="444444"/>
          <w:kern w:val="0"/>
          <w:sz w:val="28"/>
          <w:szCs w:val="28"/>
        </w:rPr>
        <w:t xml:space="preserve"> 文体</w:t>
      </w:r>
      <w:r>
        <w:rPr>
          <w:rFonts w:ascii="仿宋_GB2312" w:cs="Times New Roman" w:eastAsia="仿宋_GB2312" w:hAnsi="宋体"/>
          <w:b/>
          <w:color w:val="444444"/>
          <w:kern w:val="0"/>
          <w:sz w:val="28"/>
          <w:szCs w:val="28"/>
        </w:rPr>
        <w:t>活动</w:t>
      </w:r>
      <w:r>
        <w:rPr>
          <w:rFonts w:ascii="仿宋_GB2312" w:cs="Times New Roman" w:eastAsia="仿宋_GB2312" w:hAnsi="宋体" w:hint="eastAsia"/>
          <w:b/>
          <w:color w:val="444444"/>
          <w:kern w:val="0"/>
          <w:sz w:val="28"/>
          <w:szCs w:val="28"/>
        </w:rPr>
        <w:t>计分表</w:t>
      </w:r>
    </w:p>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指参加学院规定的具有综合测评加分项目的自选活动（不含要求全体出席的学院教育活动），</w:t>
      </w:r>
      <w:r>
        <w:rPr>
          <w:rFonts w:ascii="仿宋_GB2312" w:cs="Times New Roman" w:eastAsia="仿宋_GB2312" w:hAnsi="宋体" w:hint="eastAsia"/>
          <w:color w:val="444444"/>
          <w:kern w:val="0"/>
          <w:sz w:val="28"/>
          <w:szCs w:val="28"/>
        </w:rPr>
        <w:t>若有获奖，按照相应类别额外进行加分，此项最高计6分</w:t>
      </w:r>
      <w:r>
        <w:rPr>
          <w:rFonts w:ascii="仿宋_GB2312" w:cs="Times New Roman" w:eastAsia="仿宋_GB2312" w:hAnsi="宋体"/>
          <w:color w:val="444444"/>
          <w:kern w:val="0"/>
          <w:sz w:val="28"/>
          <w:szCs w:val="28"/>
        </w:rPr>
        <w:t>。</w:t>
      </w:r>
    </w:p>
    <w:tbl>
      <w:tblPr>
        <w:tblStyle w:val="style154"/>
        <w:tblW w:w="0" w:type="auto"/>
        <w:tblLook w:val="04A0" w:firstRow="1" w:lastRow="0" w:firstColumn="1" w:lastColumn="0" w:noHBand="0" w:noVBand="1"/>
      </w:tblPr>
      <w:tblGrid>
        <w:gridCol w:w="2074"/>
        <w:gridCol w:w="2074"/>
        <w:gridCol w:w="2074"/>
        <w:gridCol w:w="2074"/>
      </w:tblGrid>
      <w:tr>
        <w:trPr/>
        <w:tc>
          <w:tcPr>
            <w:tcW w:w="2074" w:type="dxa"/>
            <w:tcBorders/>
          </w:tcPr>
          <w:p>
            <w:pPr>
              <w:pStyle w:val="style0"/>
              <w:widowControl/>
              <w:spacing w:lineRule="exact" w:line="52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国家级</w:t>
            </w:r>
          </w:p>
        </w:tc>
        <w:tc>
          <w:tcPr>
            <w:tcW w:w="2074" w:type="dxa"/>
            <w:tcBorders/>
          </w:tcPr>
          <w:p>
            <w:pPr>
              <w:pStyle w:val="style0"/>
              <w:widowControl/>
              <w:spacing w:lineRule="exact" w:line="52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省部级</w:t>
            </w:r>
          </w:p>
        </w:tc>
        <w:tc>
          <w:tcPr>
            <w:tcW w:w="2074" w:type="dxa"/>
            <w:tcBorders/>
          </w:tcPr>
          <w:p>
            <w:pPr>
              <w:pStyle w:val="style0"/>
              <w:widowControl/>
              <w:spacing w:lineRule="exact" w:line="52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校级</w:t>
            </w:r>
          </w:p>
        </w:tc>
        <w:tc>
          <w:tcPr>
            <w:tcW w:w="2074" w:type="dxa"/>
            <w:tcBorders/>
          </w:tcPr>
          <w:p>
            <w:pPr>
              <w:pStyle w:val="style0"/>
              <w:widowControl/>
              <w:spacing w:lineRule="exact" w:line="52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学院级</w:t>
            </w:r>
          </w:p>
        </w:tc>
      </w:tr>
      <w:tr>
        <w:tblPrEx/>
        <w:trPr/>
        <w:tc>
          <w:tcPr>
            <w:tcW w:w="2074" w:type="dxa"/>
            <w:tcBorders/>
          </w:tcPr>
          <w:p>
            <w:pPr>
              <w:pStyle w:val="style0"/>
              <w:widowControl/>
              <w:spacing w:lineRule="exact" w:line="52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2</w:t>
            </w:r>
          </w:p>
        </w:tc>
        <w:tc>
          <w:tcPr>
            <w:tcW w:w="2074" w:type="dxa"/>
            <w:tcBorders/>
          </w:tcPr>
          <w:p>
            <w:pPr>
              <w:pStyle w:val="style0"/>
              <w:widowControl/>
              <w:spacing w:lineRule="exact" w:line="52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w:t>
            </w:r>
            <w:r>
              <w:rPr>
                <w:rFonts w:ascii="仿宋_GB2312" w:cs="Times New Roman" w:eastAsia="仿宋_GB2312" w:hAnsi="宋体"/>
                <w:color w:val="444444"/>
                <w:kern w:val="0"/>
                <w:sz w:val="28"/>
                <w:szCs w:val="28"/>
              </w:rPr>
              <w:t>.5</w:t>
            </w:r>
          </w:p>
        </w:tc>
        <w:tc>
          <w:tcPr>
            <w:tcW w:w="2074" w:type="dxa"/>
            <w:tcBorders/>
          </w:tcPr>
          <w:p>
            <w:pPr>
              <w:pStyle w:val="style0"/>
              <w:widowControl/>
              <w:spacing w:lineRule="exact" w:line="52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1</w:t>
            </w:r>
          </w:p>
        </w:tc>
        <w:tc>
          <w:tcPr>
            <w:tcW w:w="2074" w:type="dxa"/>
            <w:tcBorders/>
          </w:tcPr>
          <w:p>
            <w:pPr>
              <w:pStyle w:val="style0"/>
              <w:widowControl/>
              <w:spacing w:lineRule="exact" w:line="520"/>
              <w:jc w:val="center"/>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0</w:t>
            </w:r>
            <w:r>
              <w:rPr>
                <w:rFonts w:ascii="仿宋_GB2312" w:cs="Times New Roman" w:eastAsia="仿宋_GB2312" w:hAnsi="宋体"/>
                <w:color w:val="444444"/>
                <w:kern w:val="0"/>
                <w:sz w:val="28"/>
                <w:szCs w:val="28"/>
              </w:rPr>
              <w:t>.5</w:t>
            </w:r>
          </w:p>
        </w:tc>
      </w:tr>
    </w:tbl>
    <w:p>
      <w:pPr>
        <w:pStyle w:val="style0"/>
        <w:widowControl/>
        <w:spacing w:lineRule="exact" w:line="520"/>
        <w:ind w:firstLine="560" w:firstLineChars="200"/>
        <w:rPr>
          <w:rFonts w:ascii="仿宋_GB2312" w:cs="Times New Roman" w:eastAsia="仿宋_GB2312" w:hAnsi="宋体"/>
          <w:color w:val="444444"/>
          <w:kern w:val="0"/>
          <w:sz w:val="28"/>
          <w:szCs w:val="28"/>
        </w:rPr>
      </w:pPr>
      <w:r>
        <w:rPr>
          <w:rFonts w:ascii="仿宋_GB2312" w:cs="Times New Roman" w:eastAsia="仿宋_GB2312" w:hAnsi="宋体"/>
          <w:color w:val="444444"/>
          <w:kern w:val="0"/>
          <w:sz w:val="28"/>
          <w:szCs w:val="28"/>
        </w:rPr>
        <w:t xml:space="preserve"> 注：</w:t>
      </w:r>
    </w:p>
    <w:p>
      <w:pPr>
        <w:pStyle w:val="style179"/>
        <w:widowControl/>
        <w:numPr>
          <w:ilvl w:val="0"/>
          <w:numId w:val="13"/>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学院要求参加的活动，如报告会、讲座活动、集体自习、所在支部党日、团日活动等，按照</w:t>
      </w:r>
      <w:r>
        <w:rPr>
          <w:rFonts w:ascii="仿宋_GB2312" w:cs="Times New Roman" w:eastAsia="仿宋_GB2312" w:hAnsi="宋体" w:hint="eastAsia"/>
          <w:color w:val="444444"/>
          <w:kern w:val="0"/>
          <w:sz w:val="28"/>
          <w:szCs w:val="28"/>
        </w:rPr>
        <w:t>学院官方签到情况计算参与情况，</w:t>
      </w:r>
      <w:r>
        <w:rPr>
          <w:rFonts w:ascii="仿宋_GB2312" w:cs="Times New Roman" w:eastAsia="仿宋_GB2312" w:hAnsi="宋体" w:hint="eastAsia"/>
          <w:color w:val="444444"/>
          <w:kern w:val="0"/>
          <w:sz w:val="28"/>
          <w:szCs w:val="28"/>
        </w:rPr>
        <w:t>累计2次无故缺席扣1分处理，此项扣2分以上者取消其当学年评奖评优资格。</w:t>
      </w:r>
    </w:p>
    <w:p>
      <w:pPr>
        <w:pStyle w:val="style179"/>
        <w:widowControl/>
        <w:numPr>
          <w:ilvl w:val="0"/>
          <w:numId w:val="1"/>
        </w:numPr>
        <w:adjustRightInd w:val="false"/>
        <w:spacing w:lineRule="exact" w:line="520"/>
        <w:ind w:left="0" w:firstLine="200" w:firstLineChars="0"/>
        <w:jc w:val="left"/>
        <w:rPr>
          <w:rFonts w:ascii="宋体" w:cs="Times New Roman" w:eastAsia="宋体" w:hAnsi="宋体"/>
          <w:b/>
          <w:kern w:val="0"/>
          <w:sz w:val="28"/>
          <w:szCs w:val="28"/>
        </w:rPr>
      </w:pPr>
      <w:r>
        <w:rPr>
          <w:rFonts w:ascii="宋体" w:cs="Times New Roman" w:eastAsia="宋体" w:hAnsi="宋体" w:hint="eastAsia"/>
          <w:b/>
          <w:kern w:val="0"/>
          <w:sz w:val="28"/>
          <w:szCs w:val="28"/>
        </w:rPr>
        <w:t>说明</w:t>
      </w:r>
    </w:p>
    <w:p>
      <w:pPr>
        <w:pStyle w:val="style179"/>
        <w:widowControl/>
        <w:numPr>
          <w:ilvl w:val="0"/>
          <w:numId w:val="14"/>
        </w:numPr>
        <w:adjustRightInd w:val="false"/>
        <w:spacing w:lineRule="exact" w:line="520"/>
        <w:ind w:left="0" w:firstLine="562"/>
        <w:rPr>
          <w:rFonts w:ascii="仿宋_GB2312" w:cs="Times New Roman" w:eastAsia="仿宋_GB2312" w:hAnsi="宋体"/>
          <w:b/>
          <w:color w:val="444444"/>
          <w:kern w:val="0"/>
          <w:sz w:val="28"/>
          <w:szCs w:val="28"/>
        </w:rPr>
      </w:pPr>
      <w:r>
        <w:rPr>
          <w:rFonts w:ascii="仿宋_GB2312" w:cs="Times New Roman" w:eastAsia="仿宋_GB2312" w:hAnsi="宋体" w:hint="eastAsia"/>
          <w:b/>
          <w:color w:val="444444"/>
          <w:kern w:val="0"/>
          <w:sz w:val="28"/>
          <w:szCs w:val="28"/>
        </w:rPr>
        <w:t>有下列情况之一者，取消研究生奖学金参评资格：</w:t>
      </w:r>
    </w:p>
    <w:p>
      <w:pPr>
        <w:pStyle w:val="style179"/>
        <w:widowControl/>
        <w:numPr>
          <w:ilvl w:val="0"/>
          <w:numId w:val="15"/>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受到学校处分者，处</w:t>
      </w:r>
      <w:r>
        <w:rPr>
          <w:rFonts w:ascii="仿宋_GB2312" w:cs="Times New Roman" w:eastAsia="仿宋_GB2312" w:hAnsi="宋体" w:hint="eastAsia"/>
          <w:color w:val="444444"/>
          <w:kern w:val="0"/>
          <w:sz w:val="28"/>
          <w:szCs w:val="28"/>
        </w:rPr>
        <w:t>分期内</w:t>
      </w:r>
      <w:r>
        <w:rPr>
          <w:rFonts w:ascii="仿宋_GB2312" w:cs="Times New Roman" w:eastAsia="仿宋_GB2312" w:hAnsi="宋体" w:hint="eastAsia"/>
          <w:color w:val="444444"/>
          <w:kern w:val="0"/>
          <w:sz w:val="28"/>
          <w:szCs w:val="28"/>
        </w:rPr>
        <w:t>取消参评资格；</w:t>
      </w:r>
    </w:p>
    <w:p>
      <w:pPr>
        <w:pStyle w:val="style179"/>
        <w:widowControl/>
        <w:numPr>
          <w:ilvl w:val="0"/>
          <w:numId w:val="15"/>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伪造材料、重复使用成果、作弊、学术不端行为、违反学术道德者；</w:t>
      </w:r>
    </w:p>
    <w:p>
      <w:pPr>
        <w:pStyle w:val="style179"/>
        <w:widowControl/>
        <w:numPr>
          <w:ilvl w:val="0"/>
          <w:numId w:val="15"/>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在科研工作中造成重大事故及损失者；</w:t>
      </w:r>
    </w:p>
    <w:p>
      <w:pPr>
        <w:pStyle w:val="style179"/>
        <w:widowControl/>
        <w:numPr>
          <w:ilvl w:val="0"/>
          <w:numId w:val="15"/>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 xml:space="preserve">参评学年学籍状态处于休学、保留学籍者； </w:t>
      </w:r>
    </w:p>
    <w:p>
      <w:pPr>
        <w:pStyle w:val="style179"/>
        <w:widowControl/>
        <w:numPr>
          <w:ilvl w:val="0"/>
          <w:numId w:val="15"/>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由于因私出国留学、创业等原因未在校学习者；</w:t>
      </w:r>
    </w:p>
    <w:p>
      <w:pPr>
        <w:pStyle w:val="style179"/>
        <w:widowControl/>
        <w:numPr>
          <w:ilvl w:val="0"/>
          <w:numId w:val="15"/>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本学年度无故不缴纳学费、逾期不注册者。</w:t>
      </w:r>
    </w:p>
    <w:p>
      <w:pPr>
        <w:pStyle w:val="style179"/>
        <w:widowControl/>
        <w:numPr>
          <w:ilvl w:val="0"/>
          <w:numId w:val="14"/>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申报项目时间范围以开学注册日为节点，申报者需填写后附马克思主义学院研究生综合素质测评申请表，并提交在此时间范围内“发表论文”、“学术竞赛”、“社会实践”等所填项目文章（证书）复印件，若无法提交则视该申报项目无效，不予加分。</w:t>
      </w:r>
    </w:p>
    <w:p>
      <w:pPr>
        <w:pStyle w:val="style179"/>
        <w:widowControl/>
        <w:numPr>
          <w:ilvl w:val="0"/>
          <w:numId w:val="14"/>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《北京理工大学马克思主义学院研究生综合测评章程》自20</w:t>
      </w:r>
      <w:r>
        <w:rPr>
          <w:rFonts w:ascii="仿宋_GB2312" w:cs="Times New Roman" w:eastAsia="仿宋_GB2312" w:hAnsi="宋体"/>
          <w:color w:val="444444"/>
          <w:kern w:val="0"/>
          <w:sz w:val="28"/>
          <w:szCs w:val="28"/>
        </w:rPr>
        <w:t>22</w:t>
      </w:r>
      <w:r>
        <w:rPr>
          <w:rFonts w:ascii="仿宋_GB2312" w:cs="Times New Roman" w:eastAsia="仿宋_GB2312" w:hAnsi="宋体" w:hint="eastAsia"/>
          <w:color w:val="444444"/>
          <w:kern w:val="0"/>
          <w:sz w:val="28"/>
          <w:szCs w:val="28"/>
        </w:rPr>
        <w:t>年9月开始实行。</w:t>
      </w:r>
    </w:p>
    <w:p>
      <w:pPr>
        <w:pStyle w:val="style179"/>
        <w:widowControl/>
        <w:numPr>
          <w:ilvl w:val="0"/>
          <w:numId w:val="14"/>
        </w:numPr>
        <w:spacing w:lineRule="exact" w:line="520"/>
        <w:ind w:left="0" w:firstLine="560"/>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本章程由北京理工大学马克思主义学院负责解释。</w:t>
      </w:r>
    </w:p>
    <w:p>
      <w:pPr>
        <w:pStyle w:val="style0"/>
        <w:widowControl/>
        <w:spacing w:lineRule="exact" w:line="520"/>
        <w:rPr>
          <w:rFonts w:ascii="仿宋_GB2312" w:cs="Times New Roman" w:eastAsia="仿宋_GB2312" w:hAnsi="宋体"/>
          <w:color w:val="444444"/>
          <w:kern w:val="0"/>
          <w:sz w:val="28"/>
          <w:szCs w:val="28"/>
        </w:rPr>
      </w:pPr>
    </w:p>
    <w:p>
      <w:pPr>
        <w:pStyle w:val="style0"/>
        <w:widowControl/>
        <w:spacing w:lineRule="exact" w:line="520"/>
        <w:ind w:firstLine="560" w:firstLineChars="200"/>
        <w:jc w:val="right"/>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马克思主义学院</w:t>
      </w:r>
    </w:p>
    <w:p>
      <w:pPr>
        <w:pStyle w:val="style0"/>
        <w:widowControl/>
        <w:spacing w:lineRule="exact" w:line="520"/>
        <w:ind w:firstLine="560" w:firstLineChars="200"/>
        <w:jc w:val="right"/>
        <w:rPr>
          <w:rFonts w:ascii="仿宋_GB2312" w:cs="Times New Roman" w:eastAsia="仿宋_GB2312" w:hAnsi="宋体"/>
          <w:color w:val="444444"/>
          <w:kern w:val="0"/>
          <w:sz w:val="28"/>
          <w:szCs w:val="28"/>
        </w:rPr>
      </w:pPr>
      <w:r>
        <w:rPr>
          <w:rFonts w:ascii="仿宋_GB2312" w:cs="Times New Roman" w:eastAsia="仿宋_GB2312" w:hAnsi="宋体" w:hint="eastAsia"/>
          <w:color w:val="444444"/>
          <w:kern w:val="0"/>
          <w:sz w:val="28"/>
          <w:szCs w:val="28"/>
        </w:rPr>
        <w:t xml:space="preserve">   二</w:t>
      </w:r>
      <w:r>
        <w:rPr>
          <w:rFonts w:ascii="微软雅黑" w:cs="微软雅黑" w:eastAsia="微软雅黑" w:hAnsi="微软雅黑" w:hint="eastAsia"/>
          <w:color w:val="444444"/>
          <w:kern w:val="0"/>
          <w:sz w:val="28"/>
          <w:szCs w:val="28"/>
        </w:rPr>
        <w:t>〇</w:t>
      </w:r>
      <w:r>
        <w:rPr>
          <w:rFonts w:ascii="仿宋_GB2312" w:cs="仿宋_GB2312" w:eastAsia="仿宋_GB2312" w:hAnsi="仿宋_GB2312" w:hint="eastAsia"/>
          <w:color w:val="444444"/>
          <w:kern w:val="0"/>
          <w:sz w:val="28"/>
          <w:szCs w:val="28"/>
        </w:rPr>
        <w:t>二</w:t>
      </w:r>
      <w:r>
        <w:rPr>
          <w:rFonts w:ascii="仿宋_GB2312" w:cs="Times New Roman" w:eastAsia="仿宋_GB2312" w:hAnsi="宋体" w:hint="eastAsia"/>
          <w:color w:val="444444"/>
          <w:kern w:val="0"/>
          <w:sz w:val="28"/>
          <w:szCs w:val="28"/>
        </w:rPr>
        <w:t>二</w:t>
      </w:r>
      <w:r>
        <w:rPr>
          <w:rFonts w:ascii="仿宋_GB2312" w:cs="Times New Roman" w:eastAsia="仿宋_GB2312" w:hAnsi="宋体" w:hint="eastAsia"/>
          <w:color w:val="444444"/>
          <w:kern w:val="0"/>
          <w:sz w:val="28"/>
          <w:szCs w:val="28"/>
        </w:rPr>
        <w:t>年九月</w:t>
      </w:r>
      <w:bookmarkStart w:id="0" w:name="_GoBack"/>
      <w:bookmarkEnd w:id="0"/>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等线">
    <w:altName w:val="DengXian"/>
    <w:panose1 w:val="020106000300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仿宋_GB2312">
    <w:altName w:val="仿宋"/>
    <w:panose1 w:val="02010609030001010101"/>
    <w:charset w:val="86"/>
    <w:family w:val="modern"/>
    <w:pitch w:val="fixed"/>
    <w:sig w:usb0="00000001" w:usb1="080E0000" w:usb2="00000010" w:usb3="00000000" w:csb0="00040000" w:csb1="00000000"/>
  </w:font>
  <w:font w:name="微软雅黑">
    <w:altName w:val="微软雅黑"/>
    <w:panose1 w:val="020b0503020002020204"/>
    <w:charset w:val="86"/>
    <w:family w:val="swiss"/>
    <w:pitch w:val="variable"/>
    <w:sig w:usb0="80000287" w:usb1="2ACF3C50" w:usb2="00000016" w:usb3="00000000" w:csb0="0004001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867A6E6"/>
    <w:lvl w:ilvl="0">
      <w:start w:val="1"/>
      <w:numFmt w:val="decimal"/>
      <w:lvlText w:val="%1."/>
      <w:lvlJc w:val="left"/>
      <w:pPr>
        <w:tabs>
          <w:tab w:val="left" w:leader="none" w:pos="29"/>
        </w:tabs>
      </w:pPr>
    </w:lvl>
  </w:abstractNum>
  <w:abstractNum w:abstractNumId="1">
    <w:nsid w:val="00000001"/>
    <w:multiLevelType w:val="multilevel"/>
    <w:tmpl w:val="015B39D8"/>
    <w:lvl w:ilvl="0">
      <w:start w:val="1"/>
      <w:numFmt w:val="decimalEnclosedCircle"/>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00000002"/>
    <w:multiLevelType w:val="hybridMultilevel"/>
    <w:tmpl w:val="54DE3EE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0000003"/>
    <w:multiLevelType w:val="hybridMultilevel"/>
    <w:tmpl w:val="54DE3EE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0000004"/>
    <w:multiLevelType w:val="hybridMultilevel"/>
    <w:tmpl w:val="CBC4C6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5"/>
    <w:multiLevelType w:val="multilevel"/>
    <w:tmpl w:val="16AF5F8F"/>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6">
    <w:nsid w:val="00000006"/>
    <w:multiLevelType w:val="multilevel"/>
    <w:tmpl w:val="1F3319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7"/>
    <w:multiLevelType w:val="hybridMultilevel"/>
    <w:tmpl w:val="CCCE9EB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00000008"/>
    <w:multiLevelType w:val="hybridMultilevel"/>
    <w:tmpl w:val="CCCE9EB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00000009"/>
    <w:multiLevelType w:val="hybridMultilevel"/>
    <w:tmpl w:val="E4CAC558"/>
    <w:lvl w:ilvl="0" w:tplc="04090011">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nsid w:val="0000000A"/>
    <w:multiLevelType w:val="multilevel"/>
    <w:tmpl w:val="241C0FCE"/>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nsid w:val="0000000B"/>
    <w:multiLevelType w:val="hybridMultilevel"/>
    <w:tmpl w:val="54DE3EE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0000000C"/>
    <w:multiLevelType w:val="hybridMultilevel"/>
    <w:tmpl w:val="54DE3EE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0000000D"/>
    <w:multiLevelType w:val="hybridMultilevel"/>
    <w:tmpl w:val="552255D0"/>
    <w:lvl w:ilvl="0" w:tplc="4C20E4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0000000E"/>
    <w:multiLevelType w:val="hybridMultilevel"/>
    <w:tmpl w:val="9C481ED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0000000F"/>
    <w:multiLevelType w:val="hybridMultilevel"/>
    <w:tmpl w:val="54DE3EE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5"/>
  </w:num>
  <w:num w:numId="3">
    <w:abstractNumId w:val="0"/>
  </w:num>
  <w:num w:numId="4">
    <w:abstractNumId w:val="6"/>
  </w:num>
  <w:num w:numId="5">
    <w:abstractNumId w:val="1"/>
  </w:num>
  <w:num w:numId="6">
    <w:abstractNumId w:val="13"/>
  </w:num>
  <w:num w:numId="7">
    <w:abstractNumId w:val="7"/>
  </w:num>
  <w:num w:numId="8">
    <w:abstractNumId w:val="8"/>
  </w:num>
  <w:num w:numId="9">
    <w:abstractNumId w:val="11"/>
  </w:num>
  <w:num w:numId="10">
    <w:abstractNumId w:val="15"/>
  </w:num>
  <w:num w:numId="11">
    <w:abstractNumId w:val="3"/>
  </w:num>
  <w:num w:numId="12">
    <w:abstractNumId w:val="12"/>
  </w:num>
  <w:num w:numId="13">
    <w:abstractNumId w:val="2"/>
  </w:num>
  <w:num w:numId="14">
    <w:abstractNumId w:val="4"/>
  </w:num>
  <w:num w:numId="15">
    <w:abstractNumId w:val="14"/>
  </w:num>
  <w:num w:numId="16">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paragraph" w:styleId="style1">
    <w:name w:val="heading 1"/>
    <w:basedOn w:val="style0"/>
    <w:next w:val="style0"/>
    <w:link w:val="style4103"/>
    <w:qFormat/>
    <w:uiPriority w:val="9"/>
    <w:pPr>
      <w:keepNext/>
      <w:keepLines/>
      <w:spacing w:before="340" w:after="330" w:lineRule="auto" w:line="578"/>
      <w:outlineLvl w:val="0"/>
    </w:pPr>
    <w:rPr>
      <w:b/>
      <w:bCs/>
      <w:kern w:val="44"/>
      <w:sz w:val="44"/>
      <w:szCs w:val="4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9"/>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3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paragraph" w:styleId="style179">
    <w:name w:val="List Paragraph"/>
    <w:basedOn w:val="style0"/>
    <w:next w:val="style179"/>
    <w:qFormat/>
    <w:uiPriority w:val="34"/>
    <w:pPr>
      <w:ind w:firstLine="420" w:firstLineChars="200"/>
    </w:pPr>
    <w:rPr/>
  </w:style>
  <w:style w:type="character" w:customStyle="1" w:styleId="style4099">
    <w:name w:val="批注框文本 字符"/>
    <w:basedOn w:val="style65"/>
    <w:next w:val="style4099"/>
    <w:link w:val="style153"/>
    <w:qFormat/>
    <w:uiPriority w:val="99"/>
    <w:rPr>
      <w:sz w:val="18"/>
      <w:szCs w:val="18"/>
    </w:rPr>
  </w:style>
  <w:style w:type="character" w:customStyle="1" w:styleId="style4100">
    <w:name w:val="不明显强调1"/>
    <w:basedOn w:val="style65"/>
    <w:next w:val="style4100"/>
    <w:qFormat/>
    <w:uiPriority w:val="19"/>
    <w:rPr>
      <w:i/>
      <w:iCs/>
      <w:color w:val="404040"/>
    </w:rPr>
  </w:style>
  <w:style w:type="paragraph" w:customStyle="1" w:styleId="style4101">
    <w:name w:val="List Paragraph1"/>
    <w:basedOn w:val="style0"/>
    <w:next w:val="style4101"/>
    <w:pPr>
      <w:ind w:firstLine="420" w:firstLineChars="200"/>
    </w:pPr>
    <w:rPr>
      <w:rFonts w:ascii="等线" w:cs="Times New Roman" w:eastAsia="等线" w:hAnsi="等线"/>
      <w:szCs w:val="21"/>
    </w:rPr>
  </w:style>
  <w:style w:type="character" w:customStyle="1" w:styleId="style4102">
    <w:name w:val="15"/>
    <w:basedOn w:val="style65"/>
    <w:next w:val="style4102"/>
    <w:rPr>
      <w:rFonts w:ascii="等线" w:eastAsia="等线" w:hAnsi="等线" w:hint="eastAsia"/>
      <w:i/>
      <w:iCs/>
      <w:color w:val="3f3f3f"/>
    </w:rPr>
  </w:style>
  <w:style w:type="character" w:customStyle="1" w:styleId="style4103">
    <w:name w:val="标题 1 字符"/>
    <w:basedOn w:val="style65"/>
    <w:next w:val="style4103"/>
    <w:link w:val="style1"/>
    <w:uiPriority w:val="9"/>
    <w:rPr>
      <w:b/>
      <w:bCs/>
      <w:kern w:val="44"/>
      <w:sz w:val="44"/>
      <w:szCs w:val="4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EF422-A0CB-44F1-8466-586BD18D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Words>2756</Words>
  <Pages>7</Pages>
  <Characters>2863</Characters>
  <Application>WPS Office</Application>
  <DocSecurity>0</DocSecurity>
  <Paragraphs>245</Paragraphs>
  <ScaleCrop>false</ScaleCrop>
  <LinksUpToDate>false</LinksUpToDate>
  <CharactersWithSpaces>2876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2018-09-20T01:28:00Z</dcterms:created>
  <dc:creator>李书华</dc:creator>
  <lastModifiedBy>JER-AN10</lastModifiedBy>
  <lastPrinted>2018-09-17T03:15:00Z</lastPrinted>
  <dcterms:modified xsi:type="dcterms:W3CDTF">2022-10-11T09:58:52Z</dcterms:modified>
  <revision>254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7a3460dfdf2c4448b3538e7c8a36d5b5</vt:lpwstr>
  </property>
</Properties>
</file>